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5670"/>
      </w:tblGrid>
      <w:tr w:rsidR="00B76804" w:rsidRPr="008C0FC6" w14:paraId="085E2792" w14:textId="77777777" w:rsidTr="00D510C6">
        <w:trPr>
          <w:tblHeader/>
        </w:trPr>
        <w:tc>
          <w:tcPr>
            <w:tcW w:w="10785" w:type="dxa"/>
            <w:gridSpan w:val="2"/>
            <w:shd w:val="clear" w:color="auto" w:fill="auto"/>
          </w:tcPr>
          <w:p w14:paraId="7E33129E" w14:textId="66E3361A" w:rsidR="00B76804" w:rsidRPr="008C0FC6" w:rsidRDefault="00B76804" w:rsidP="00D510C6">
            <w:pPr>
              <w:jc w:val="center"/>
              <w:rPr>
                <w:rFonts w:ascii="Arial" w:hAnsi="Arial" w:cs="Arial"/>
                <w:sz w:val="20"/>
              </w:rPr>
            </w:pPr>
            <w:r w:rsidRPr="00EC1B11">
              <w:rPr>
                <w:rFonts w:ascii="Arial" w:hAnsi="Arial" w:cs="Arial"/>
                <w:b/>
              </w:rPr>
              <w:t>State of Louisiana—Office of State Uniform Payroll</w:t>
            </w:r>
          </w:p>
        </w:tc>
      </w:tr>
      <w:tr w:rsidR="00B76804" w:rsidRPr="008C0FC6" w14:paraId="276DB107" w14:textId="77777777" w:rsidTr="00D510C6">
        <w:trPr>
          <w:tblHeader/>
        </w:trPr>
        <w:tc>
          <w:tcPr>
            <w:tcW w:w="10785" w:type="dxa"/>
            <w:gridSpan w:val="2"/>
            <w:shd w:val="clear" w:color="auto" w:fill="auto"/>
          </w:tcPr>
          <w:p w14:paraId="1F62AC03" w14:textId="2E4D54FF" w:rsidR="00B76804" w:rsidRPr="008C0FC6" w:rsidRDefault="00B76804" w:rsidP="00D510C6">
            <w:pPr>
              <w:jc w:val="center"/>
              <w:rPr>
                <w:rFonts w:ascii="Arial" w:hAnsi="Arial" w:cs="Arial"/>
                <w:sz w:val="20"/>
              </w:rPr>
            </w:pPr>
            <w:r w:rsidRPr="00EC1B11">
              <w:rPr>
                <w:rFonts w:ascii="Arial" w:hAnsi="Arial" w:cs="Arial"/>
                <w:b/>
              </w:rPr>
              <w:t>Affordable Care Act (ACA)</w:t>
            </w:r>
          </w:p>
        </w:tc>
      </w:tr>
      <w:tr w:rsidR="00B76804" w:rsidRPr="008C0FC6" w14:paraId="25D09DC6" w14:textId="77777777" w:rsidTr="00D510C6">
        <w:trPr>
          <w:tblHeader/>
        </w:trPr>
        <w:tc>
          <w:tcPr>
            <w:tcW w:w="10785" w:type="dxa"/>
            <w:gridSpan w:val="2"/>
            <w:shd w:val="clear" w:color="auto" w:fill="auto"/>
          </w:tcPr>
          <w:p w14:paraId="2E202182" w14:textId="57FF07AD" w:rsidR="00B76804" w:rsidRDefault="00D510C6" w:rsidP="00D510C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C1B11">
              <w:rPr>
                <w:rFonts w:ascii="Arial" w:hAnsi="Arial" w:cs="Arial"/>
                <w:b/>
              </w:rPr>
              <w:t>Newly Hired Employee Offer of Coverage Worksheet</w:t>
            </w:r>
          </w:p>
          <w:p w14:paraId="01013165" w14:textId="61720B93" w:rsidR="00D510C6" w:rsidRPr="008C0FC6" w:rsidRDefault="00D510C6" w:rsidP="00D510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1B11" w:rsidRPr="008C0FC6" w14:paraId="27014FEB" w14:textId="77777777" w:rsidTr="00D510C6">
        <w:tc>
          <w:tcPr>
            <w:tcW w:w="107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53FADF4" w14:textId="3003DCE4" w:rsidR="00EC1B11" w:rsidRPr="008C0FC6" w:rsidRDefault="00EC1B11" w:rsidP="002A1FC7">
            <w:pPr>
              <w:jc w:val="both"/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 xml:space="preserve">This worksheet is used to document the </w:t>
            </w:r>
            <w:proofErr w:type="spellStart"/>
            <w:r w:rsidRPr="008C0FC6">
              <w:rPr>
                <w:rFonts w:ascii="Arial" w:hAnsi="Arial" w:cs="Arial"/>
                <w:sz w:val="20"/>
              </w:rPr>
              <w:t>LaGov</w:t>
            </w:r>
            <w:proofErr w:type="spellEnd"/>
            <w:r w:rsidRPr="008C0FC6">
              <w:rPr>
                <w:rFonts w:ascii="Arial" w:hAnsi="Arial" w:cs="Arial"/>
                <w:sz w:val="20"/>
              </w:rPr>
              <w:t xml:space="preserve"> HCM Paid Agency’s reasonable expectations regarding the “full-time” status of a newly hired/transferred employee.  </w:t>
            </w:r>
            <w:r w:rsidRPr="008C0FC6">
              <w:rPr>
                <w:rFonts w:ascii="Arial" w:hAnsi="Arial" w:cs="Arial"/>
                <w:b/>
                <w:sz w:val="20"/>
              </w:rPr>
              <w:t xml:space="preserve">A copy of this completed form </w:t>
            </w:r>
            <w:r w:rsidR="002A1FC7">
              <w:rPr>
                <w:rFonts w:ascii="Arial" w:hAnsi="Arial" w:cs="Arial"/>
                <w:b/>
                <w:sz w:val="20"/>
              </w:rPr>
              <w:t>should</w:t>
            </w:r>
            <w:r w:rsidR="002A1FC7" w:rsidRPr="008C0FC6">
              <w:rPr>
                <w:rFonts w:ascii="Arial" w:hAnsi="Arial" w:cs="Arial"/>
                <w:b/>
                <w:sz w:val="20"/>
              </w:rPr>
              <w:t xml:space="preserve"> </w:t>
            </w:r>
            <w:r w:rsidRPr="008C0FC6">
              <w:rPr>
                <w:rFonts w:ascii="Arial" w:hAnsi="Arial" w:cs="Arial"/>
                <w:b/>
                <w:sz w:val="20"/>
              </w:rPr>
              <w:t>be maintained in the employee’s file</w:t>
            </w:r>
            <w:r w:rsidRPr="008C0FC6">
              <w:rPr>
                <w:rFonts w:ascii="Arial" w:hAnsi="Arial" w:cs="Arial"/>
                <w:sz w:val="20"/>
              </w:rPr>
              <w:t>.</w:t>
            </w:r>
          </w:p>
        </w:tc>
      </w:tr>
      <w:tr w:rsidR="00EC1B11" w:rsidRPr="008C0FC6" w14:paraId="0A0F108E" w14:textId="77777777" w:rsidTr="00D510C6">
        <w:tc>
          <w:tcPr>
            <w:tcW w:w="5115" w:type="dxa"/>
            <w:tcBorders>
              <w:top w:val="double" w:sz="4" w:space="0" w:color="auto"/>
              <w:bottom w:val="single" w:sz="4" w:space="0" w:color="auto"/>
            </w:tcBorders>
          </w:tcPr>
          <w:p w14:paraId="7863C1F6" w14:textId="77777777" w:rsidR="00EC1B11" w:rsidRPr="008C0FC6" w:rsidRDefault="00EC1B11" w:rsidP="00EC1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</w:tcBorders>
          </w:tcPr>
          <w:p w14:paraId="2614E12C" w14:textId="77777777" w:rsidR="00EC1B11" w:rsidRPr="008C0FC6" w:rsidRDefault="00EC1B11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EC1B11" w:rsidRPr="008C0FC6" w14:paraId="29CC868C" w14:textId="77777777" w:rsidTr="00D510C6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A91" w14:textId="77777777" w:rsidR="00EC1B11" w:rsidRPr="008C0FC6" w:rsidRDefault="00EC1B11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Personnel Area</w:t>
            </w:r>
            <w:r w:rsidR="00736B47" w:rsidRPr="008C0FC6">
              <w:rPr>
                <w:rFonts w:ascii="Arial" w:hAnsi="Arial" w:cs="Arial"/>
                <w:sz w:val="20"/>
              </w:rPr>
              <w:t xml:space="preserve"> Number/Name</w:t>
            </w:r>
          </w:p>
          <w:p w14:paraId="789FFBB6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2C886BE1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CD6" w14:textId="77777777" w:rsidR="00736B47" w:rsidRPr="008C0FC6" w:rsidRDefault="00736B47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Employee Name</w:t>
            </w:r>
          </w:p>
          <w:p w14:paraId="671EF5E7" w14:textId="77777777" w:rsidR="00EC1B11" w:rsidRPr="008C0FC6" w:rsidRDefault="00EC1B11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EC1B11" w:rsidRPr="008C0FC6" w14:paraId="17B24F65" w14:textId="77777777" w:rsidTr="00D510C6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645B" w14:textId="77777777" w:rsidR="00EC1B11" w:rsidRPr="008C0FC6" w:rsidRDefault="00EC1B11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Personnel Number</w:t>
            </w:r>
          </w:p>
          <w:p w14:paraId="41E0B314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6442CCB2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EF9" w14:textId="77777777" w:rsidR="00EC1B11" w:rsidRPr="008C0FC6" w:rsidRDefault="00736B47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Date of Hire</w:t>
            </w:r>
          </w:p>
        </w:tc>
      </w:tr>
      <w:tr w:rsidR="00EC1B11" w:rsidRPr="008C0FC6" w14:paraId="337AA047" w14:textId="77777777" w:rsidTr="00D510C6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FC3" w14:textId="77777777" w:rsidR="00EC1B11" w:rsidRPr="008C0FC6" w:rsidRDefault="00EC1B11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Expected Length of Employment</w:t>
            </w:r>
          </w:p>
          <w:p w14:paraId="4743FCEA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164A6504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349" w14:textId="77777777" w:rsidR="00EC1B11" w:rsidRPr="008C0FC6" w:rsidRDefault="00EC1B11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EC1B11" w:rsidRPr="008C0FC6" w14:paraId="744A49BB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8596" w14:textId="77777777" w:rsidR="00EC1B11" w:rsidRPr="008C0FC6" w:rsidRDefault="00EC1B11" w:rsidP="008C0FC6">
            <w:pPr>
              <w:pStyle w:val="Default"/>
              <w:numPr>
                <w:ilvl w:val="0"/>
                <w:numId w:val="3"/>
              </w:numPr>
              <w:rPr>
                <w:iCs/>
                <w:sz w:val="20"/>
                <w:szCs w:val="20"/>
              </w:rPr>
            </w:pPr>
            <w:r w:rsidRPr="008C0FC6">
              <w:rPr>
                <w:iCs/>
                <w:sz w:val="20"/>
                <w:szCs w:val="20"/>
              </w:rPr>
              <w:t xml:space="preserve">Did the newly hired/transferred employee work for any </w:t>
            </w:r>
            <w:proofErr w:type="spellStart"/>
            <w:r w:rsidRPr="008C0FC6">
              <w:rPr>
                <w:iCs/>
                <w:sz w:val="20"/>
                <w:szCs w:val="20"/>
              </w:rPr>
              <w:t>LaGov</w:t>
            </w:r>
            <w:proofErr w:type="spellEnd"/>
            <w:r w:rsidRPr="008C0FC6">
              <w:rPr>
                <w:iCs/>
                <w:sz w:val="20"/>
                <w:szCs w:val="20"/>
              </w:rPr>
              <w:t xml:space="preserve"> HCM paid agency in the last 12 months?</w:t>
            </w:r>
          </w:p>
          <w:p w14:paraId="3F086B0A" w14:textId="77777777" w:rsidR="00EC1B11" w:rsidRPr="008C0FC6" w:rsidRDefault="00EC1B11" w:rsidP="00EC1B11">
            <w:pPr>
              <w:pStyle w:val="Default"/>
              <w:rPr>
                <w:iCs/>
                <w:sz w:val="20"/>
                <w:szCs w:val="20"/>
              </w:rPr>
            </w:pPr>
          </w:p>
          <w:p w14:paraId="40FF242B" w14:textId="241BDAC1" w:rsidR="00EC1B11" w:rsidRPr="008C0FC6" w:rsidRDefault="00EC1B11" w:rsidP="00887287">
            <w:pPr>
              <w:pStyle w:val="Default"/>
              <w:numPr>
                <w:ilvl w:val="0"/>
                <w:numId w:val="1"/>
              </w:numPr>
              <w:spacing w:after="120"/>
              <w:rPr>
                <w:iCs/>
                <w:sz w:val="20"/>
                <w:szCs w:val="20"/>
              </w:rPr>
            </w:pPr>
            <w:r w:rsidRPr="008C0FC6">
              <w:rPr>
                <w:iCs/>
                <w:sz w:val="20"/>
                <w:szCs w:val="20"/>
              </w:rPr>
              <w:t xml:space="preserve">YES – Proceed to </w:t>
            </w:r>
            <w:r w:rsidR="00C70B7B">
              <w:rPr>
                <w:iCs/>
                <w:sz w:val="20"/>
                <w:szCs w:val="20"/>
              </w:rPr>
              <w:t>7</w:t>
            </w:r>
          </w:p>
          <w:p w14:paraId="111898CF" w14:textId="3AD10FCF" w:rsidR="00EC1B11" w:rsidRPr="008C0FC6" w:rsidRDefault="00EC1B11" w:rsidP="00EC1B11">
            <w:pPr>
              <w:pStyle w:val="Default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8C0FC6">
              <w:rPr>
                <w:iCs/>
                <w:sz w:val="20"/>
                <w:szCs w:val="20"/>
              </w:rPr>
              <w:t xml:space="preserve">NO – Proceed to </w:t>
            </w:r>
            <w:r w:rsidR="00C70B7B">
              <w:rPr>
                <w:iCs/>
                <w:sz w:val="20"/>
                <w:szCs w:val="20"/>
              </w:rPr>
              <w:t>9</w:t>
            </w:r>
          </w:p>
          <w:p w14:paraId="77AAF372" w14:textId="77777777" w:rsidR="00EC1B11" w:rsidRPr="008C0FC6" w:rsidRDefault="00EC1B11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736B47" w:rsidRPr="008C0FC6" w14:paraId="3DD6A6A5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8E6E" w14:textId="515F0DC5" w:rsidR="00736B47" w:rsidRPr="00F87DD3" w:rsidRDefault="00736B47" w:rsidP="00EC1B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 xml:space="preserve">Was the newly hired/transferred employee in a standard or initial </w:t>
            </w:r>
            <w:r w:rsidRPr="008C0FC6">
              <w:rPr>
                <w:rFonts w:ascii="Arial" w:hAnsi="Arial" w:cs="Arial"/>
                <w:sz w:val="20"/>
                <w:u w:val="single"/>
              </w:rPr>
              <w:t>measurement</w:t>
            </w:r>
            <w:r w:rsidRPr="008C0FC6">
              <w:rPr>
                <w:rFonts w:ascii="Arial" w:hAnsi="Arial" w:cs="Arial"/>
                <w:sz w:val="20"/>
              </w:rPr>
              <w:t xml:space="preserve"> period at any agency?</w:t>
            </w:r>
          </w:p>
          <w:p w14:paraId="2160D15A" w14:textId="77777777" w:rsidR="00736B47" w:rsidRPr="008C0FC6" w:rsidRDefault="00736B47" w:rsidP="00736B47">
            <w:pPr>
              <w:pStyle w:val="Default"/>
              <w:rPr>
                <w:iCs/>
                <w:sz w:val="20"/>
                <w:szCs w:val="20"/>
              </w:rPr>
            </w:pPr>
          </w:p>
          <w:p w14:paraId="1A4C36CD" w14:textId="0E9C9B24" w:rsidR="00736B47" w:rsidRPr="008C0FC6" w:rsidRDefault="00736B47" w:rsidP="00887287">
            <w:pPr>
              <w:pStyle w:val="Default"/>
              <w:numPr>
                <w:ilvl w:val="0"/>
                <w:numId w:val="1"/>
              </w:numPr>
              <w:spacing w:after="120"/>
              <w:rPr>
                <w:iCs/>
                <w:sz w:val="20"/>
                <w:szCs w:val="20"/>
              </w:rPr>
            </w:pPr>
            <w:r w:rsidRPr="008C0FC6">
              <w:rPr>
                <w:iCs/>
                <w:sz w:val="20"/>
                <w:szCs w:val="20"/>
              </w:rPr>
              <w:t xml:space="preserve">YES – Proceed to </w:t>
            </w:r>
            <w:r w:rsidR="00C70B7B">
              <w:rPr>
                <w:iCs/>
                <w:sz w:val="20"/>
                <w:szCs w:val="20"/>
              </w:rPr>
              <w:t>9</w:t>
            </w:r>
            <w:r w:rsidRPr="008C0FC6">
              <w:rPr>
                <w:iCs/>
                <w:sz w:val="20"/>
                <w:szCs w:val="20"/>
              </w:rPr>
              <w:t xml:space="preserve"> </w:t>
            </w:r>
          </w:p>
          <w:p w14:paraId="1F066708" w14:textId="5B326522" w:rsidR="00736B47" w:rsidRPr="008C0FC6" w:rsidRDefault="00736B47" w:rsidP="00736B47">
            <w:pPr>
              <w:pStyle w:val="Default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8C0FC6">
              <w:rPr>
                <w:iCs/>
                <w:sz w:val="20"/>
                <w:szCs w:val="20"/>
              </w:rPr>
              <w:t xml:space="preserve">NO – Proceed to </w:t>
            </w:r>
            <w:r w:rsidR="002F0B26">
              <w:rPr>
                <w:iCs/>
                <w:sz w:val="20"/>
                <w:szCs w:val="20"/>
              </w:rPr>
              <w:t>8</w:t>
            </w:r>
          </w:p>
          <w:p w14:paraId="53AB52E1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6E976BAF" w14:textId="77777777" w:rsidR="00736B47" w:rsidRPr="008C0FC6" w:rsidRDefault="00736B47" w:rsidP="00EC1B11">
            <w:pPr>
              <w:rPr>
                <w:rFonts w:ascii="Arial" w:hAnsi="Arial" w:cs="Arial"/>
                <w:i/>
                <w:sz w:val="20"/>
              </w:rPr>
            </w:pPr>
            <w:r w:rsidRPr="008C0FC6">
              <w:rPr>
                <w:rFonts w:ascii="Arial" w:hAnsi="Arial" w:cs="Arial"/>
                <w:i/>
                <w:sz w:val="20"/>
              </w:rPr>
              <w:t>If you are unsure, contact the prior employing agency or execute the ACA report (ZP136).</w:t>
            </w:r>
          </w:p>
          <w:p w14:paraId="420B12A2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736B47" w:rsidRPr="008C0FC6" w14:paraId="4BC1A67D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E0F4" w14:textId="77777777" w:rsidR="00736B47" w:rsidRPr="008C0FC6" w:rsidRDefault="00736B47" w:rsidP="008C0F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 xml:space="preserve">Is the newly hired/transferred employee in a current stability or initial </w:t>
            </w:r>
            <w:r w:rsidRPr="008C0FC6">
              <w:rPr>
                <w:rFonts w:ascii="Arial" w:hAnsi="Arial" w:cs="Arial"/>
                <w:sz w:val="20"/>
                <w:u w:val="single"/>
              </w:rPr>
              <w:t>stability</w:t>
            </w:r>
            <w:r w:rsidRPr="008C0FC6">
              <w:rPr>
                <w:rFonts w:ascii="Arial" w:hAnsi="Arial" w:cs="Arial"/>
                <w:sz w:val="20"/>
              </w:rPr>
              <w:t xml:space="preserve"> period at any agency?</w:t>
            </w:r>
          </w:p>
          <w:p w14:paraId="6B99E8C0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0A82EE30" w14:textId="4769AA79" w:rsidR="00736B47" w:rsidRPr="00E64B1F" w:rsidRDefault="00736B47" w:rsidP="0088728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 w:cs="Arial"/>
                <w:sz w:val="20"/>
              </w:rPr>
            </w:pPr>
            <w:r w:rsidRPr="00E64B1F">
              <w:rPr>
                <w:rFonts w:ascii="Arial" w:hAnsi="Arial" w:cs="Arial"/>
                <w:iCs/>
                <w:sz w:val="20"/>
              </w:rPr>
              <w:t xml:space="preserve">YES – Employees continues to be eligible for health coverage.  Make appropriate entries in </w:t>
            </w:r>
            <w:proofErr w:type="spellStart"/>
            <w:r w:rsidR="003D42B0">
              <w:rPr>
                <w:rFonts w:ascii="Arial" w:hAnsi="Arial" w:cs="Arial"/>
                <w:iCs/>
                <w:sz w:val="20"/>
              </w:rPr>
              <w:t>LaGov</w:t>
            </w:r>
            <w:proofErr w:type="spellEnd"/>
            <w:r w:rsidR="003D42B0">
              <w:rPr>
                <w:rFonts w:ascii="Arial" w:hAnsi="Arial" w:cs="Arial"/>
                <w:iCs/>
                <w:sz w:val="20"/>
              </w:rPr>
              <w:t xml:space="preserve"> </w:t>
            </w:r>
            <w:r w:rsidR="00E64B1F" w:rsidRPr="00265A7E">
              <w:rPr>
                <w:rFonts w:ascii="Arial" w:hAnsi="Arial" w:cs="Arial"/>
                <w:iCs/>
                <w:sz w:val="20"/>
              </w:rPr>
              <w:t>HCM</w:t>
            </w:r>
            <w:r w:rsidRPr="00E64B1F">
              <w:rPr>
                <w:rFonts w:ascii="Arial" w:hAnsi="Arial" w:cs="Arial"/>
                <w:iCs/>
                <w:sz w:val="20"/>
              </w:rPr>
              <w:t>.</w:t>
            </w:r>
          </w:p>
          <w:p w14:paraId="607723AE" w14:textId="375EB6A3" w:rsidR="00736B47" w:rsidRPr="008C0FC6" w:rsidRDefault="00736B47" w:rsidP="00736B4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iCs/>
                <w:sz w:val="20"/>
              </w:rPr>
              <w:t xml:space="preserve">NO – Proceed to </w:t>
            </w:r>
            <w:r w:rsidR="00876938">
              <w:rPr>
                <w:rFonts w:ascii="Arial" w:hAnsi="Arial" w:cs="Arial"/>
                <w:iCs/>
                <w:sz w:val="20"/>
              </w:rPr>
              <w:t>9</w:t>
            </w:r>
          </w:p>
          <w:p w14:paraId="55A0B548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  <w:p w14:paraId="11577AA7" w14:textId="76E6351E" w:rsidR="00736B47" w:rsidRPr="008C0FC6" w:rsidRDefault="008C0FC6" w:rsidP="00736B47">
            <w:pPr>
              <w:pStyle w:val="Default"/>
              <w:rPr>
                <w:sz w:val="20"/>
                <w:szCs w:val="20"/>
              </w:rPr>
            </w:pPr>
            <w:r w:rsidRPr="008C0FC6">
              <w:rPr>
                <w:i/>
                <w:iCs/>
                <w:sz w:val="20"/>
                <w:szCs w:val="20"/>
              </w:rPr>
              <w:t xml:space="preserve">Note: </w:t>
            </w:r>
            <w:r w:rsidR="003A5798">
              <w:rPr>
                <w:i/>
                <w:iCs/>
                <w:sz w:val="20"/>
                <w:szCs w:val="20"/>
              </w:rPr>
              <w:t>A</w:t>
            </w:r>
            <w:r w:rsidRPr="008C0FC6">
              <w:rPr>
                <w:i/>
                <w:iCs/>
                <w:sz w:val="20"/>
                <w:szCs w:val="20"/>
              </w:rPr>
              <w:t xml:space="preserve"> break in service only ends the stability period </w:t>
            </w:r>
            <w:r w:rsidR="0088378A">
              <w:rPr>
                <w:i/>
                <w:iCs/>
                <w:sz w:val="20"/>
                <w:szCs w:val="20"/>
              </w:rPr>
              <w:t xml:space="preserve">if </w:t>
            </w:r>
            <w:r w:rsidR="00876938">
              <w:rPr>
                <w:i/>
                <w:iCs/>
                <w:sz w:val="20"/>
                <w:szCs w:val="20"/>
              </w:rPr>
              <w:t>it was</w:t>
            </w:r>
            <w:r w:rsidR="0088378A">
              <w:rPr>
                <w:i/>
                <w:iCs/>
                <w:sz w:val="20"/>
                <w:szCs w:val="20"/>
              </w:rPr>
              <w:t>: (1)</w:t>
            </w:r>
            <w:r w:rsidR="00876938">
              <w:rPr>
                <w:i/>
                <w:iCs/>
                <w:sz w:val="20"/>
                <w:szCs w:val="20"/>
              </w:rPr>
              <w:t xml:space="preserve"> at</w:t>
            </w:r>
            <w:r w:rsidRPr="008C0FC6">
              <w:rPr>
                <w:i/>
                <w:iCs/>
                <w:sz w:val="20"/>
                <w:szCs w:val="20"/>
              </w:rPr>
              <w:t xml:space="preserve"> </w:t>
            </w:r>
            <w:r w:rsidR="003A5798">
              <w:rPr>
                <w:i/>
                <w:iCs/>
                <w:sz w:val="20"/>
                <w:szCs w:val="20"/>
              </w:rPr>
              <w:t>least</w:t>
            </w:r>
            <w:r w:rsidR="00876938">
              <w:rPr>
                <w:i/>
                <w:iCs/>
                <w:sz w:val="20"/>
                <w:szCs w:val="20"/>
              </w:rPr>
              <w:t xml:space="preserve"> a </w:t>
            </w:r>
            <w:r w:rsidRPr="008C0FC6">
              <w:rPr>
                <w:i/>
                <w:iCs/>
                <w:sz w:val="20"/>
                <w:szCs w:val="20"/>
              </w:rPr>
              <w:t xml:space="preserve">13 week break in service, </w:t>
            </w:r>
            <w:r w:rsidR="00876938">
              <w:rPr>
                <w:i/>
                <w:iCs/>
                <w:sz w:val="20"/>
                <w:szCs w:val="20"/>
              </w:rPr>
              <w:t>OR</w:t>
            </w:r>
            <w:r w:rsidR="00876938" w:rsidRPr="008C0FC6">
              <w:rPr>
                <w:i/>
                <w:iCs/>
                <w:sz w:val="20"/>
                <w:szCs w:val="20"/>
              </w:rPr>
              <w:t xml:space="preserve"> </w:t>
            </w:r>
            <w:r w:rsidR="0088378A">
              <w:rPr>
                <w:i/>
                <w:iCs/>
                <w:sz w:val="20"/>
                <w:szCs w:val="20"/>
              </w:rPr>
              <w:t xml:space="preserve">(2) </w:t>
            </w:r>
            <w:r w:rsidRPr="008C0FC6">
              <w:rPr>
                <w:i/>
                <w:iCs/>
                <w:sz w:val="20"/>
                <w:szCs w:val="20"/>
              </w:rPr>
              <w:t>a break in service of at least four (4) weeks but longer than the prior period of employment.</w:t>
            </w:r>
          </w:p>
          <w:p w14:paraId="640916EE" w14:textId="77777777" w:rsidR="00736B47" w:rsidRPr="008C0FC6" w:rsidRDefault="00736B47" w:rsidP="00EC1B11">
            <w:pPr>
              <w:rPr>
                <w:rFonts w:ascii="Arial" w:hAnsi="Arial" w:cs="Arial"/>
                <w:sz w:val="20"/>
              </w:rPr>
            </w:pPr>
          </w:p>
        </w:tc>
      </w:tr>
      <w:tr w:rsidR="008C0FC6" w:rsidRPr="008C0FC6" w14:paraId="06B3F85B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72E" w14:textId="77777777" w:rsidR="008C0FC6" w:rsidRPr="008C0FC6" w:rsidRDefault="008C0FC6" w:rsidP="0062722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sz w:val="20"/>
              </w:rPr>
              <w:t>Does the agency expect the newly hired/transferred employee to work at least 30 hours per week at the time of hire/transfer?</w:t>
            </w:r>
          </w:p>
          <w:p w14:paraId="75437D85" w14:textId="77777777" w:rsidR="008C0FC6" w:rsidRPr="008C0FC6" w:rsidRDefault="008C0FC6" w:rsidP="0062722C">
            <w:pPr>
              <w:jc w:val="both"/>
              <w:rPr>
                <w:rFonts w:ascii="Arial" w:hAnsi="Arial" w:cs="Arial"/>
                <w:sz w:val="20"/>
              </w:rPr>
            </w:pPr>
          </w:p>
          <w:p w14:paraId="3933410A" w14:textId="56310F67" w:rsidR="008C0FC6" w:rsidRPr="00265A7E" w:rsidRDefault="008C0FC6" w:rsidP="008872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iCs/>
                <w:sz w:val="20"/>
              </w:rPr>
              <w:t xml:space="preserve">YES – The offer of </w:t>
            </w:r>
            <w:r w:rsidR="0088378A" w:rsidRPr="00265A7E">
              <w:rPr>
                <w:rFonts w:ascii="Arial" w:hAnsi="Arial" w:cs="Arial"/>
                <w:iCs/>
                <w:sz w:val="20"/>
              </w:rPr>
              <w:t xml:space="preserve">health </w:t>
            </w:r>
            <w:r w:rsidRPr="00265A7E">
              <w:rPr>
                <w:rFonts w:ascii="Arial" w:hAnsi="Arial" w:cs="Arial"/>
                <w:iCs/>
                <w:sz w:val="20"/>
              </w:rPr>
              <w:t xml:space="preserve">coverage must be made </w:t>
            </w:r>
            <w:r w:rsidR="003A5798" w:rsidRPr="00265A7E">
              <w:rPr>
                <w:rFonts w:ascii="Arial" w:hAnsi="Arial" w:cs="Arial"/>
                <w:iCs/>
                <w:sz w:val="20"/>
              </w:rPr>
              <w:t>in accordance with OGB guidelines</w:t>
            </w:r>
            <w:r w:rsidRPr="00265A7E">
              <w:rPr>
                <w:rFonts w:ascii="Arial" w:hAnsi="Arial" w:cs="Arial"/>
                <w:iCs/>
                <w:sz w:val="20"/>
              </w:rPr>
              <w:t xml:space="preserve">.  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 xml:space="preserve">Enter applicable information in </w:t>
            </w:r>
            <w:proofErr w:type="spellStart"/>
            <w:r w:rsidRPr="00265A7E">
              <w:rPr>
                <w:rFonts w:ascii="Arial" w:hAnsi="Arial" w:cs="Arial"/>
                <w:b/>
                <w:iCs/>
                <w:sz w:val="20"/>
              </w:rPr>
              <w:t>eEnrollment</w:t>
            </w:r>
            <w:proofErr w:type="spellEnd"/>
            <w:r w:rsidRPr="00265A7E">
              <w:rPr>
                <w:rFonts w:ascii="Arial" w:hAnsi="Arial" w:cs="Arial"/>
                <w:b/>
                <w:iCs/>
                <w:sz w:val="20"/>
              </w:rPr>
              <w:t>/</w:t>
            </w:r>
            <w:proofErr w:type="spellStart"/>
            <w:r w:rsidR="0088378A" w:rsidRPr="00265A7E">
              <w:rPr>
                <w:rFonts w:ascii="Arial" w:hAnsi="Arial" w:cs="Arial"/>
                <w:b/>
                <w:iCs/>
                <w:sz w:val="20"/>
              </w:rPr>
              <w:t>LaGov</w:t>
            </w:r>
            <w:proofErr w:type="spellEnd"/>
            <w:r w:rsidR="0088378A" w:rsidRPr="00265A7E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>HCM.  Document the offer</w:t>
            </w:r>
            <w:r w:rsidR="0088378A" w:rsidRPr="00265A7E">
              <w:rPr>
                <w:rFonts w:ascii="Arial" w:hAnsi="Arial" w:cs="Arial"/>
                <w:b/>
                <w:iCs/>
                <w:sz w:val="20"/>
              </w:rPr>
              <w:t xml:space="preserve"> (GB-01)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 xml:space="preserve"> and keep copy for file</w:t>
            </w:r>
            <w:r w:rsidRPr="00265A7E">
              <w:rPr>
                <w:rFonts w:ascii="Arial" w:hAnsi="Arial" w:cs="Arial"/>
                <w:iCs/>
                <w:sz w:val="20"/>
              </w:rPr>
              <w:t>.</w:t>
            </w:r>
          </w:p>
          <w:p w14:paraId="517B3DF8" w14:textId="3328C733" w:rsidR="008C0FC6" w:rsidRPr="00265A7E" w:rsidRDefault="008C0FC6" w:rsidP="0062722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iCs/>
                <w:sz w:val="20"/>
              </w:rPr>
              <w:t xml:space="preserve">NO – Proceed to </w:t>
            </w:r>
            <w:r w:rsidR="0088378A" w:rsidRPr="00265A7E">
              <w:rPr>
                <w:rFonts w:ascii="Arial" w:hAnsi="Arial" w:cs="Arial"/>
                <w:iCs/>
                <w:sz w:val="20"/>
              </w:rPr>
              <w:t>10</w:t>
            </w:r>
          </w:p>
          <w:p w14:paraId="0005466A" w14:textId="77777777" w:rsidR="008C0FC6" w:rsidRPr="008C0FC6" w:rsidRDefault="008C0FC6" w:rsidP="0062722C">
            <w:pPr>
              <w:jc w:val="both"/>
              <w:rPr>
                <w:rFonts w:ascii="Arial" w:hAnsi="Arial" w:cs="Arial"/>
                <w:sz w:val="20"/>
              </w:rPr>
            </w:pPr>
          </w:p>
          <w:p w14:paraId="656AF286" w14:textId="3E6EAEC4" w:rsidR="008C0FC6" w:rsidRPr="008C0FC6" w:rsidRDefault="008C0FC6" w:rsidP="0062722C">
            <w:pPr>
              <w:jc w:val="both"/>
              <w:rPr>
                <w:rFonts w:ascii="Arial" w:hAnsi="Arial" w:cs="Arial"/>
                <w:i/>
                <w:sz w:val="20"/>
              </w:rPr>
            </w:pPr>
            <w:r w:rsidRPr="008C0FC6">
              <w:rPr>
                <w:rFonts w:ascii="Arial" w:hAnsi="Arial" w:cs="Arial"/>
                <w:i/>
                <w:sz w:val="20"/>
              </w:rPr>
              <w:t xml:space="preserve">IMPORTANT:  The offer of coverage </w:t>
            </w:r>
            <w:r w:rsidRPr="00887287">
              <w:rPr>
                <w:rFonts w:ascii="Arial" w:hAnsi="Arial" w:cs="Arial"/>
                <w:b/>
                <w:i/>
                <w:sz w:val="20"/>
                <w:u w:val="single"/>
              </w:rPr>
              <w:t>must</w:t>
            </w:r>
            <w:r w:rsidRPr="008C0FC6">
              <w:rPr>
                <w:rFonts w:ascii="Arial" w:hAnsi="Arial" w:cs="Arial"/>
                <w:i/>
                <w:sz w:val="20"/>
              </w:rPr>
              <w:t xml:space="preserve"> be documented and </w:t>
            </w:r>
            <w:r w:rsidR="003A5798">
              <w:rPr>
                <w:rFonts w:ascii="Arial" w:hAnsi="Arial" w:cs="Arial"/>
                <w:i/>
                <w:sz w:val="20"/>
              </w:rPr>
              <w:t>filed</w:t>
            </w:r>
            <w:r w:rsidR="003A5798" w:rsidRPr="008C0FC6">
              <w:rPr>
                <w:rFonts w:ascii="Arial" w:hAnsi="Arial" w:cs="Arial"/>
                <w:i/>
                <w:sz w:val="20"/>
              </w:rPr>
              <w:t xml:space="preserve"> </w:t>
            </w:r>
            <w:r w:rsidRPr="008C0FC6">
              <w:rPr>
                <w:rFonts w:ascii="Arial" w:hAnsi="Arial" w:cs="Arial"/>
                <w:i/>
                <w:sz w:val="20"/>
              </w:rPr>
              <w:t>in the employee’s file.</w:t>
            </w:r>
          </w:p>
          <w:p w14:paraId="7FB96711" w14:textId="77777777" w:rsidR="008C0FC6" w:rsidRPr="008C0FC6" w:rsidRDefault="008C0FC6" w:rsidP="0062722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0FC6" w:rsidRPr="008C0FC6" w14:paraId="06B6C59E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BF92" w14:textId="77777777" w:rsidR="008C0FC6" w:rsidRDefault="00887287" w:rsidP="0088728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newly hired/transferred employee replacing a full-time (at least 30 hours) position?  Example:  the employee is filling in for a permanent position while the employee holding the position is out on leave.</w:t>
            </w:r>
          </w:p>
          <w:p w14:paraId="3AFF3380" w14:textId="77777777" w:rsidR="00887287" w:rsidRPr="008C0FC6" w:rsidRDefault="00887287" w:rsidP="00887287">
            <w:pPr>
              <w:jc w:val="both"/>
              <w:rPr>
                <w:rFonts w:ascii="Arial" w:hAnsi="Arial" w:cs="Arial"/>
                <w:sz w:val="20"/>
              </w:rPr>
            </w:pPr>
          </w:p>
          <w:p w14:paraId="6B679781" w14:textId="5BE2A13D" w:rsidR="00887287" w:rsidRPr="00265A7E" w:rsidRDefault="00887287" w:rsidP="0088728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contextualSpacing w:val="0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iCs/>
                <w:sz w:val="20"/>
              </w:rPr>
              <w:t xml:space="preserve">YES – The offer of </w:t>
            </w:r>
            <w:r w:rsidR="0088378A" w:rsidRPr="00265A7E">
              <w:rPr>
                <w:rFonts w:ascii="Arial" w:hAnsi="Arial" w:cs="Arial"/>
                <w:iCs/>
                <w:sz w:val="20"/>
              </w:rPr>
              <w:t xml:space="preserve">health </w:t>
            </w:r>
            <w:r w:rsidRPr="00265A7E">
              <w:rPr>
                <w:rFonts w:ascii="Arial" w:hAnsi="Arial" w:cs="Arial"/>
                <w:iCs/>
                <w:sz w:val="20"/>
              </w:rPr>
              <w:t xml:space="preserve">coverage must be made </w:t>
            </w:r>
            <w:r w:rsidR="0088378A" w:rsidRPr="00265A7E">
              <w:rPr>
                <w:rFonts w:ascii="Arial" w:hAnsi="Arial" w:cs="Arial"/>
                <w:iCs/>
                <w:sz w:val="20"/>
              </w:rPr>
              <w:t>in accordance with OGB guidelines</w:t>
            </w:r>
            <w:r w:rsidRPr="00265A7E">
              <w:rPr>
                <w:rFonts w:ascii="Arial" w:hAnsi="Arial" w:cs="Arial"/>
                <w:iCs/>
                <w:sz w:val="20"/>
              </w:rPr>
              <w:t xml:space="preserve">.  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 xml:space="preserve">Enter applicable information in </w:t>
            </w:r>
            <w:proofErr w:type="spellStart"/>
            <w:r w:rsidRPr="00265A7E">
              <w:rPr>
                <w:rFonts w:ascii="Arial" w:hAnsi="Arial" w:cs="Arial"/>
                <w:b/>
                <w:iCs/>
                <w:sz w:val="20"/>
              </w:rPr>
              <w:t>eEnrollment</w:t>
            </w:r>
            <w:proofErr w:type="spellEnd"/>
            <w:r w:rsidRPr="00265A7E">
              <w:rPr>
                <w:rFonts w:ascii="Arial" w:hAnsi="Arial" w:cs="Arial"/>
                <w:b/>
                <w:iCs/>
                <w:sz w:val="20"/>
              </w:rPr>
              <w:t>/</w:t>
            </w:r>
            <w:proofErr w:type="spellStart"/>
            <w:r w:rsidR="0088378A" w:rsidRPr="00265A7E">
              <w:rPr>
                <w:rFonts w:ascii="Arial" w:hAnsi="Arial" w:cs="Arial"/>
                <w:b/>
                <w:iCs/>
                <w:sz w:val="20"/>
              </w:rPr>
              <w:t>LaGov</w:t>
            </w:r>
            <w:proofErr w:type="spellEnd"/>
            <w:r w:rsidR="0088378A" w:rsidRPr="00265A7E">
              <w:rPr>
                <w:rFonts w:ascii="Arial" w:hAnsi="Arial" w:cs="Arial"/>
                <w:b/>
                <w:iCs/>
                <w:sz w:val="20"/>
              </w:rPr>
              <w:t xml:space="preserve"> 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>HCM.  Document the offer</w:t>
            </w:r>
            <w:r w:rsidR="0088378A" w:rsidRPr="00265A7E">
              <w:rPr>
                <w:rFonts w:ascii="Arial" w:hAnsi="Arial" w:cs="Arial"/>
                <w:b/>
                <w:iCs/>
                <w:sz w:val="20"/>
              </w:rPr>
              <w:t xml:space="preserve"> (GB-01)</w:t>
            </w:r>
            <w:r w:rsidRPr="00265A7E">
              <w:rPr>
                <w:rFonts w:ascii="Arial" w:hAnsi="Arial" w:cs="Arial"/>
                <w:b/>
                <w:iCs/>
                <w:sz w:val="20"/>
              </w:rPr>
              <w:t xml:space="preserve"> and keep copy for file</w:t>
            </w:r>
            <w:r w:rsidRPr="00265A7E">
              <w:rPr>
                <w:rFonts w:ascii="Arial" w:hAnsi="Arial" w:cs="Arial"/>
                <w:iCs/>
                <w:sz w:val="20"/>
              </w:rPr>
              <w:t>.</w:t>
            </w:r>
          </w:p>
          <w:p w14:paraId="37DB6957" w14:textId="20509B98" w:rsidR="00887287" w:rsidRPr="00265A7E" w:rsidRDefault="00887287" w:rsidP="0088728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iCs/>
                <w:sz w:val="20"/>
              </w:rPr>
              <w:t xml:space="preserve">NO – Proceed to </w:t>
            </w:r>
            <w:r w:rsidR="0088378A" w:rsidRPr="00265A7E">
              <w:rPr>
                <w:rFonts w:ascii="Arial" w:hAnsi="Arial" w:cs="Arial"/>
                <w:iCs/>
                <w:sz w:val="20"/>
              </w:rPr>
              <w:t>11</w:t>
            </w:r>
          </w:p>
          <w:p w14:paraId="77650645" w14:textId="77777777" w:rsidR="00887287" w:rsidRPr="008C0FC6" w:rsidRDefault="00887287" w:rsidP="00887287">
            <w:pPr>
              <w:jc w:val="both"/>
              <w:rPr>
                <w:rFonts w:ascii="Arial" w:hAnsi="Arial" w:cs="Arial"/>
                <w:sz w:val="20"/>
              </w:rPr>
            </w:pPr>
          </w:p>
          <w:p w14:paraId="79677310" w14:textId="4F6DE86A" w:rsidR="00887287" w:rsidRDefault="00887287" w:rsidP="00887287">
            <w:pPr>
              <w:jc w:val="both"/>
              <w:rPr>
                <w:rFonts w:ascii="Arial" w:hAnsi="Arial" w:cs="Arial"/>
                <w:sz w:val="20"/>
              </w:rPr>
            </w:pPr>
            <w:r w:rsidRPr="008C0FC6">
              <w:rPr>
                <w:rFonts w:ascii="Arial" w:hAnsi="Arial" w:cs="Arial"/>
                <w:i/>
                <w:sz w:val="20"/>
              </w:rPr>
              <w:t xml:space="preserve">IMPORTANT:  The offer of coverage </w:t>
            </w:r>
            <w:r w:rsidRPr="00887287">
              <w:rPr>
                <w:rFonts w:ascii="Arial" w:hAnsi="Arial" w:cs="Arial"/>
                <w:b/>
                <w:i/>
                <w:sz w:val="20"/>
                <w:u w:val="single"/>
              </w:rPr>
              <w:t>must</w:t>
            </w:r>
            <w:r w:rsidRPr="008C0FC6">
              <w:rPr>
                <w:rFonts w:ascii="Arial" w:hAnsi="Arial" w:cs="Arial"/>
                <w:i/>
                <w:sz w:val="20"/>
              </w:rPr>
              <w:t xml:space="preserve"> be documented and </w:t>
            </w:r>
            <w:r w:rsidR="003A5798">
              <w:rPr>
                <w:rFonts w:ascii="Arial" w:hAnsi="Arial" w:cs="Arial"/>
                <w:i/>
                <w:sz w:val="20"/>
              </w:rPr>
              <w:t>filed</w:t>
            </w:r>
            <w:r w:rsidR="003A5798" w:rsidRPr="008C0FC6">
              <w:rPr>
                <w:rFonts w:ascii="Arial" w:hAnsi="Arial" w:cs="Arial"/>
                <w:i/>
                <w:sz w:val="20"/>
              </w:rPr>
              <w:t xml:space="preserve"> </w:t>
            </w:r>
            <w:r w:rsidRPr="008C0FC6">
              <w:rPr>
                <w:rFonts w:ascii="Arial" w:hAnsi="Arial" w:cs="Arial"/>
                <w:i/>
                <w:sz w:val="20"/>
              </w:rPr>
              <w:t>in the employee’s file.</w:t>
            </w:r>
          </w:p>
          <w:p w14:paraId="414B743B" w14:textId="42B3D590" w:rsidR="00D510C6" w:rsidRPr="00887287" w:rsidRDefault="00D510C6" w:rsidP="00887287">
            <w:pPr>
              <w:rPr>
                <w:rFonts w:ascii="Arial" w:hAnsi="Arial" w:cs="Arial"/>
                <w:sz w:val="20"/>
              </w:rPr>
            </w:pPr>
          </w:p>
        </w:tc>
      </w:tr>
      <w:tr w:rsidR="008C0FC6" w:rsidRPr="004F26A3" w14:paraId="0C943BB1" w14:textId="77777777" w:rsidTr="00D510C6"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DB5" w14:textId="2DE79A77" w:rsidR="008C0FC6" w:rsidRPr="004F26A3" w:rsidRDefault="004F26A3" w:rsidP="004F26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F26A3">
              <w:rPr>
                <w:rFonts w:ascii="Arial" w:hAnsi="Arial" w:cs="Arial"/>
                <w:sz w:val="20"/>
              </w:rPr>
              <w:t xml:space="preserve">Is the newly hired/transferred employee a variable hour employee?  </w:t>
            </w:r>
            <w:r w:rsidRPr="004F26A3">
              <w:rPr>
                <w:rFonts w:ascii="Arial" w:hAnsi="Arial" w:cs="Arial"/>
                <w:iCs/>
                <w:sz w:val="20"/>
              </w:rPr>
              <w:t xml:space="preserve">A variable hour employee is defined as an employee for whom the agency cannot reasonably determine based on the facts and circumstances upon the date of hire </w:t>
            </w:r>
            <w:r w:rsidR="0030708F">
              <w:rPr>
                <w:rFonts w:ascii="Arial" w:hAnsi="Arial" w:cs="Arial"/>
                <w:iCs/>
                <w:sz w:val="20"/>
              </w:rPr>
              <w:t xml:space="preserve">whether the new hire </w:t>
            </w:r>
            <w:r w:rsidRPr="004F26A3">
              <w:rPr>
                <w:rFonts w:ascii="Arial" w:hAnsi="Arial" w:cs="Arial"/>
                <w:iCs/>
                <w:sz w:val="20"/>
              </w:rPr>
              <w:t>will work on average at least 30 hours per week.</w:t>
            </w:r>
          </w:p>
          <w:p w14:paraId="4CEDD100" w14:textId="77777777" w:rsidR="004F26A3" w:rsidRDefault="004F26A3" w:rsidP="004F26A3">
            <w:pPr>
              <w:rPr>
                <w:rFonts w:ascii="Arial" w:hAnsi="Arial" w:cs="Arial"/>
                <w:sz w:val="20"/>
              </w:rPr>
            </w:pPr>
          </w:p>
          <w:p w14:paraId="5A77D3CD" w14:textId="06D3AF37" w:rsidR="004F26A3" w:rsidRDefault="004F26A3" w:rsidP="004F26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Example:  The employee will work </w:t>
            </w:r>
            <w:r w:rsidR="00FE08BB">
              <w:rPr>
                <w:rFonts w:ascii="Arial" w:hAnsi="Arial" w:cs="Arial"/>
                <w:sz w:val="20"/>
              </w:rPr>
              <w:t>35</w:t>
            </w:r>
            <w:r w:rsidR="0011722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hours one week, </w:t>
            </w:r>
            <w:r w:rsidR="00AB4DE8">
              <w:rPr>
                <w:rFonts w:ascii="Arial" w:hAnsi="Arial" w:cs="Arial"/>
                <w:sz w:val="20"/>
              </w:rPr>
              <w:t xml:space="preserve">27 </w:t>
            </w:r>
            <w:r>
              <w:rPr>
                <w:rFonts w:ascii="Arial" w:hAnsi="Arial" w:cs="Arial"/>
                <w:sz w:val="20"/>
              </w:rPr>
              <w:t xml:space="preserve">hours the next week, and </w:t>
            </w:r>
            <w:r w:rsidR="00FE08BB">
              <w:rPr>
                <w:rFonts w:ascii="Arial" w:hAnsi="Arial" w:cs="Arial"/>
                <w:sz w:val="20"/>
              </w:rPr>
              <w:t>25</w:t>
            </w:r>
            <w:r w:rsidR="0011722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hours the following week.</w:t>
            </w:r>
          </w:p>
          <w:p w14:paraId="42054167" w14:textId="77777777" w:rsidR="004F26A3" w:rsidRDefault="004F26A3" w:rsidP="004F26A3">
            <w:pPr>
              <w:rPr>
                <w:rFonts w:ascii="Arial" w:hAnsi="Arial" w:cs="Arial"/>
                <w:sz w:val="20"/>
              </w:rPr>
            </w:pPr>
          </w:p>
          <w:p w14:paraId="5EAAF5C4" w14:textId="514AB07B" w:rsidR="004F26A3" w:rsidRPr="00265A7E" w:rsidRDefault="004F26A3" w:rsidP="004F26A3">
            <w:pPr>
              <w:pStyle w:val="ListParagraph"/>
              <w:numPr>
                <w:ilvl w:val="0"/>
                <w:numId w:val="7"/>
              </w:numPr>
              <w:spacing w:after="120"/>
              <w:contextualSpacing w:val="0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sz w:val="20"/>
              </w:rPr>
              <w:t xml:space="preserve">YES – The agency will measure the employee over the </w:t>
            </w:r>
            <w:r w:rsidR="00FE08BB" w:rsidRPr="00265A7E">
              <w:rPr>
                <w:rFonts w:ascii="Arial" w:hAnsi="Arial" w:cs="Arial"/>
                <w:sz w:val="20"/>
              </w:rPr>
              <w:t>24 pay period</w:t>
            </w:r>
            <w:r w:rsidRPr="00265A7E">
              <w:rPr>
                <w:rFonts w:ascii="Arial" w:hAnsi="Arial" w:cs="Arial"/>
                <w:sz w:val="20"/>
              </w:rPr>
              <w:t xml:space="preserve"> initial measurement (look-back) period.  Enter applicable information in </w:t>
            </w:r>
            <w:proofErr w:type="spellStart"/>
            <w:r w:rsidRPr="00265A7E">
              <w:rPr>
                <w:rFonts w:ascii="Arial" w:hAnsi="Arial" w:cs="Arial"/>
                <w:sz w:val="20"/>
              </w:rPr>
              <w:t>eEnrollment</w:t>
            </w:r>
            <w:proofErr w:type="spellEnd"/>
            <w:r w:rsidRPr="00265A7E">
              <w:rPr>
                <w:rFonts w:ascii="Arial" w:hAnsi="Arial" w:cs="Arial"/>
                <w:sz w:val="20"/>
              </w:rPr>
              <w:t>/</w:t>
            </w:r>
            <w:proofErr w:type="spellStart"/>
            <w:r w:rsidR="00FE08BB" w:rsidRPr="00265A7E">
              <w:rPr>
                <w:rFonts w:ascii="Arial" w:hAnsi="Arial" w:cs="Arial"/>
                <w:sz w:val="20"/>
              </w:rPr>
              <w:t>LaGov</w:t>
            </w:r>
            <w:proofErr w:type="spellEnd"/>
            <w:r w:rsidR="00FE08BB" w:rsidRPr="00265A7E">
              <w:rPr>
                <w:rFonts w:ascii="Arial" w:hAnsi="Arial" w:cs="Arial"/>
                <w:sz w:val="20"/>
              </w:rPr>
              <w:t xml:space="preserve"> </w:t>
            </w:r>
            <w:r w:rsidRPr="00265A7E">
              <w:rPr>
                <w:rFonts w:ascii="Arial" w:hAnsi="Arial" w:cs="Arial"/>
                <w:sz w:val="20"/>
              </w:rPr>
              <w:t xml:space="preserve">HCM.  </w:t>
            </w:r>
            <w:r w:rsidR="00BA43CD" w:rsidRPr="00265A7E">
              <w:rPr>
                <w:rFonts w:ascii="Arial" w:hAnsi="Arial" w:cs="Arial"/>
                <w:sz w:val="20"/>
              </w:rPr>
              <w:t xml:space="preserve">Utilize </w:t>
            </w:r>
            <w:r w:rsidRPr="00265A7E">
              <w:rPr>
                <w:rFonts w:ascii="Arial" w:hAnsi="Arial" w:cs="Arial"/>
                <w:sz w:val="20"/>
              </w:rPr>
              <w:t xml:space="preserve">the ACA report (ZP136) </w:t>
            </w:r>
            <w:r w:rsidR="00FE08BB" w:rsidRPr="00265A7E">
              <w:rPr>
                <w:rFonts w:ascii="Arial" w:hAnsi="Arial" w:cs="Arial"/>
                <w:sz w:val="20"/>
              </w:rPr>
              <w:t xml:space="preserve">periodically </w:t>
            </w:r>
            <w:r w:rsidRPr="00265A7E">
              <w:rPr>
                <w:rFonts w:ascii="Arial" w:hAnsi="Arial" w:cs="Arial"/>
                <w:sz w:val="20"/>
              </w:rPr>
              <w:t>to track hours worked.</w:t>
            </w:r>
            <w:r w:rsidR="00AB4DE8" w:rsidRPr="00265A7E">
              <w:rPr>
                <w:rFonts w:ascii="Arial" w:hAnsi="Arial" w:cs="Arial"/>
                <w:sz w:val="20"/>
              </w:rPr>
              <w:t xml:space="preserve"> This</w:t>
            </w:r>
            <w:r w:rsidR="00BA43CD" w:rsidRPr="00265A7E">
              <w:rPr>
                <w:rFonts w:ascii="Arial" w:hAnsi="Arial" w:cs="Arial"/>
                <w:sz w:val="20"/>
              </w:rPr>
              <w:t xml:space="preserve"> report must be </w:t>
            </w:r>
            <w:r w:rsidR="00331CEF" w:rsidRPr="00265A7E">
              <w:rPr>
                <w:rFonts w:ascii="Arial" w:hAnsi="Arial" w:cs="Arial"/>
                <w:sz w:val="20"/>
              </w:rPr>
              <w:t>run</w:t>
            </w:r>
            <w:r w:rsidR="00BA43CD" w:rsidRPr="00265A7E">
              <w:rPr>
                <w:rFonts w:ascii="Arial" w:hAnsi="Arial" w:cs="Arial"/>
                <w:sz w:val="20"/>
              </w:rPr>
              <w:t xml:space="preserve"> at the end of the IMP to determine </w:t>
            </w:r>
            <w:r w:rsidR="009F3541" w:rsidRPr="00265A7E">
              <w:rPr>
                <w:rFonts w:ascii="Arial" w:hAnsi="Arial" w:cs="Arial"/>
                <w:sz w:val="20"/>
              </w:rPr>
              <w:t>if employee meets the ACA definition of full time.</w:t>
            </w:r>
          </w:p>
          <w:p w14:paraId="21CCFDF7" w14:textId="6517F7F1" w:rsidR="004F26A3" w:rsidRPr="00265A7E" w:rsidRDefault="004F26A3" w:rsidP="004F26A3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ascii="Arial" w:hAnsi="Arial" w:cs="Arial"/>
                <w:sz w:val="20"/>
              </w:rPr>
            </w:pPr>
            <w:r w:rsidRPr="00265A7E">
              <w:rPr>
                <w:rFonts w:ascii="Arial" w:hAnsi="Arial" w:cs="Arial"/>
                <w:iCs/>
                <w:sz w:val="20"/>
              </w:rPr>
              <w:t>NO – Employee is considered a part-time employee (works less than 30 hours per week) and is not eligible for health coverage.</w:t>
            </w:r>
            <w:r w:rsidRPr="00265A7E">
              <w:rPr>
                <w:rFonts w:ascii="Arial" w:hAnsi="Arial" w:cs="Arial"/>
                <w:sz w:val="20"/>
              </w:rPr>
              <w:t xml:space="preserve">  </w:t>
            </w:r>
            <w:r w:rsidR="009F3541" w:rsidRPr="00265A7E">
              <w:rPr>
                <w:rFonts w:ascii="Arial" w:hAnsi="Arial" w:cs="Arial"/>
                <w:sz w:val="20"/>
              </w:rPr>
              <w:t xml:space="preserve">Utilize the ACA report (ZP136) periodically to track hours worked. This report must be </w:t>
            </w:r>
            <w:r w:rsidR="00331CEF" w:rsidRPr="00265A7E">
              <w:rPr>
                <w:rFonts w:ascii="Arial" w:hAnsi="Arial" w:cs="Arial"/>
                <w:sz w:val="20"/>
              </w:rPr>
              <w:t>run</w:t>
            </w:r>
            <w:r w:rsidR="009F3541" w:rsidRPr="00265A7E">
              <w:rPr>
                <w:rFonts w:ascii="Arial" w:hAnsi="Arial" w:cs="Arial"/>
                <w:sz w:val="20"/>
              </w:rPr>
              <w:t xml:space="preserve"> at the end of the IMP to determine if employee meets the ACA definition of full time.</w:t>
            </w:r>
          </w:p>
          <w:p w14:paraId="2CC7EB22" w14:textId="57A5FD27" w:rsidR="004F26A3" w:rsidRPr="004F26A3" w:rsidRDefault="004F26A3" w:rsidP="004F26A3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0D3FDD" w14:textId="77777777" w:rsidR="00EC1B11" w:rsidRDefault="00EC1B11" w:rsidP="00EC1B11">
      <w:pPr>
        <w:rPr>
          <w:rFonts w:ascii="Arial" w:hAnsi="Arial" w:cs="Arial"/>
          <w:sz w:val="22"/>
          <w:szCs w:val="22"/>
        </w:rPr>
      </w:pPr>
    </w:p>
    <w:p w14:paraId="2FE4CEED" w14:textId="77777777" w:rsidR="00AE594F" w:rsidRDefault="00AE594F" w:rsidP="00EC1B11">
      <w:pPr>
        <w:rPr>
          <w:rFonts w:ascii="Arial" w:hAnsi="Arial" w:cs="Arial"/>
          <w:sz w:val="22"/>
          <w:szCs w:val="22"/>
        </w:rPr>
      </w:pPr>
    </w:p>
    <w:p w14:paraId="46A01662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068782F3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17B7537C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6F0A8027" w14:textId="35A16B3C" w:rsidR="00F87DD3" w:rsidRDefault="00F87DD3" w:rsidP="00EC1B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6CF369ED" w14:textId="51339E82" w:rsidR="00F87DD3" w:rsidRPr="00F87DD3" w:rsidRDefault="00F87DD3" w:rsidP="00EC1B11">
      <w:pPr>
        <w:rPr>
          <w:rFonts w:ascii="Arial" w:hAnsi="Arial" w:cs="Arial"/>
          <w:sz w:val="20"/>
        </w:rPr>
      </w:pPr>
      <w:r w:rsidRPr="00F87DD3">
        <w:rPr>
          <w:rFonts w:ascii="Arial" w:hAnsi="Arial" w:cs="Arial"/>
          <w:sz w:val="20"/>
        </w:rPr>
        <w:t>Form Completed by (Print Name)</w:t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  <w:t>Title</w:t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</w:r>
      <w:r w:rsidRPr="00F87DD3">
        <w:rPr>
          <w:rFonts w:ascii="Arial" w:hAnsi="Arial" w:cs="Arial"/>
          <w:sz w:val="20"/>
        </w:rPr>
        <w:tab/>
        <w:t>Date</w:t>
      </w:r>
    </w:p>
    <w:p w14:paraId="00E35CA5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2D65DED0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3821A63C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7DF31483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7166DD79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124B5CC7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7032EE78" w14:textId="77777777" w:rsidR="00F87DD3" w:rsidRDefault="00F87DD3" w:rsidP="00EC1B11">
      <w:pPr>
        <w:rPr>
          <w:rFonts w:ascii="Arial" w:hAnsi="Arial" w:cs="Arial"/>
          <w:sz w:val="22"/>
          <w:szCs w:val="22"/>
        </w:rPr>
      </w:pPr>
    </w:p>
    <w:p w14:paraId="77E33462" w14:textId="77777777" w:rsidR="00AE594F" w:rsidRDefault="00AE594F" w:rsidP="00EC1B11">
      <w:pPr>
        <w:rPr>
          <w:rFonts w:ascii="Arial" w:hAnsi="Arial" w:cs="Arial"/>
          <w:sz w:val="22"/>
          <w:szCs w:val="22"/>
        </w:rPr>
      </w:pPr>
    </w:p>
    <w:p w14:paraId="5245316A" w14:textId="376EC769" w:rsidR="00EC1B11" w:rsidRDefault="00AE594F" w:rsidP="00AE594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594F">
        <w:rPr>
          <w:rFonts w:ascii="Arial" w:hAnsi="Arial" w:cs="Arial"/>
          <w:b/>
          <w:bCs/>
          <w:sz w:val="22"/>
          <w:szCs w:val="22"/>
        </w:rPr>
        <w:t>Definitions</w:t>
      </w:r>
    </w:p>
    <w:p w14:paraId="5544F6D5" w14:textId="77777777" w:rsidR="00AE594F" w:rsidRPr="00AE594F" w:rsidRDefault="00AE594F" w:rsidP="00AE594F">
      <w:pPr>
        <w:jc w:val="center"/>
        <w:rPr>
          <w:rFonts w:ascii="Arial" w:hAnsi="Arial" w:cs="Arial"/>
          <w:sz w:val="22"/>
          <w:szCs w:val="22"/>
        </w:rPr>
      </w:pPr>
    </w:p>
    <w:p w14:paraId="487160B1" w14:textId="77777777" w:rsidR="00AE594F" w:rsidRDefault="00AE594F" w:rsidP="00AE594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Full-time—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employee is expected to work at least an average of 30 or more hours per week</w:t>
      </w:r>
    </w:p>
    <w:p w14:paraId="409731AE" w14:textId="77777777" w:rsidR="00AE594F" w:rsidRDefault="00AE594F" w:rsidP="00AE594F">
      <w:pPr>
        <w:pStyle w:val="Default"/>
        <w:jc w:val="both"/>
        <w:rPr>
          <w:sz w:val="20"/>
          <w:szCs w:val="20"/>
        </w:rPr>
      </w:pPr>
    </w:p>
    <w:p w14:paraId="0359AFB7" w14:textId="4DE22521" w:rsidR="00AE594F" w:rsidRDefault="00AE594F" w:rsidP="00AE594F">
      <w:pPr>
        <w:pStyle w:val="Default"/>
        <w:jc w:val="both"/>
        <w:rPr>
          <w:sz w:val="20"/>
        </w:rPr>
      </w:pPr>
      <w:r w:rsidRPr="001B7B6E">
        <w:rPr>
          <w:b/>
          <w:sz w:val="20"/>
        </w:rPr>
        <w:t>Part-time</w:t>
      </w:r>
      <w:r>
        <w:rPr>
          <w:sz w:val="20"/>
        </w:rPr>
        <w:t>—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employee is expected to work less than an average of 30 hours per week.</w:t>
      </w:r>
    </w:p>
    <w:p w14:paraId="22B6A83E" w14:textId="242CC632" w:rsidR="00AE594F" w:rsidRDefault="00AE594F" w:rsidP="00AE594F">
      <w:pPr>
        <w:pStyle w:val="Default"/>
        <w:jc w:val="both"/>
        <w:rPr>
          <w:sz w:val="20"/>
          <w:szCs w:val="20"/>
        </w:rPr>
      </w:pPr>
    </w:p>
    <w:p w14:paraId="5461252B" w14:textId="77B73315" w:rsidR="00AE594F" w:rsidRDefault="00AE594F" w:rsidP="00AE594F">
      <w:pPr>
        <w:pStyle w:val="Default"/>
        <w:jc w:val="both"/>
        <w:rPr>
          <w:sz w:val="20"/>
          <w:szCs w:val="20"/>
        </w:rPr>
      </w:pPr>
      <w:r w:rsidRPr="001B7B6E">
        <w:rPr>
          <w:b/>
          <w:sz w:val="20"/>
        </w:rPr>
        <w:t>Variable</w:t>
      </w:r>
      <w:r w:rsidRPr="002849F6">
        <w:rPr>
          <w:sz w:val="20"/>
        </w:rPr>
        <w:t>—</w:t>
      </w:r>
      <w:r w:rsidR="00137402">
        <w:rPr>
          <w:sz w:val="20"/>
        </w:rPr>
        <w:t xml:space="preserve"> </w:t>
      </w:r>
      <w:proofErr w:type="gramStart"/>
      <w:r w:rsidRPr="002849F6">
        <w:rPr>
          <w:sz w:val="20"/>
        </w:rPr>
        <w:t>It</w:t>
      </w:r>
      <w:proofErr w:type="gramEnd"/>
      <w:r w:rsidRPr="002849F6">
        <w:rPr>
          <w:sz w:val="20"/>
        </w:rPr>
        <w:t xml:space="preserve"> cannot be determined at the date of hire if the employee will work an average of 30 hours per week.</w:t>
      </w:r>
    </w:p>
    <w:p w14:paraId="2DDBC9E0" w14:textId="7531FEC7" w:rsidR="00AE594F" w:rsidRDefault="00AE594F" w:rsidP="00AE594F">
      <w:pPr>
        <w:pStyle w:val="Default"/>
        <w:jc w:val="both"/>
        <w:rPr>
          <w:sz w:val="20"/>
          <w:szCs w:val="20"/>
        </w:rPr>
      </w:pPr>
    </w:p>
    <w:p w14:paraId="75C33C15" w14:textId="77777777" w:rsidR="00AE594F" w:rsidRDefault="00AE594F" w:rsidP="00AE594F">
      <w:pPr>
        <w:pStyle w:val="Default"/>
        <w:jc w:val="both"/>
        <w:rPr>
          <w:sz w:val="20"/>
          <w:szCs w:val="20"/>
        </w:rPr>
      </w:pPr>
    </w:p>
    <w:p w14:paraId="16E6A0ED" w14:textId="77777777" w:rsidR="00EC1B11" w:rsidRDefault="00EC1B11" w:rsidP="00EC1B11">
      <w:pPr>
        <w:rPr>
          <w:rFonts w:ascii="Arial" w:hAnsi="Arial" w:cs="Arial"/>
          <w:sz w:val="22"/>
          <w:szCs w:val="22"/>
        </w:rPr>
      </w:pPr>
    </w:p>
    <w:p w14:paraId="28B84F7C" w14:textId="77777777" w:rsidR="00EC1B11" w:rsidRDefault="00EC1B11" w:rsidP="00EC1B11">
      <w:pPr>
        <w:rPr>
          <w:rFonts w:ascii="Arial" w:hAnsi="Arial" w:cs="Arial"/>
          <w:sz w:val="22"/>
          <w:szCs w:val="22"/>
        </w:rPr>
      </w:pPr>
    </w:p>
    <w:p w14:paraId="41CE020B" w14:textId="77777777" w:rsidR="00EC1B11" w:rsidRDefault="00EC1B11" w:rsidP="00EC1B11">
      <w:pPr>
        <w:rPr>
          <w:rFonts w:ascii="Arial" w:hAnsi="Arial" w:cs="Arial"/>
          <w:sz w:val="22"/>
          <w:szCs w:val="22"/>
        </w:rPr>
      </w:pPr>
    </w:p>
    <w:p w14:paraId="17312A1A" w14:textId="77777777" w:rsidR="00EC1B11" w:rsidRPr="00EC1B11" w:rsidRDefault="00EC1B11" w:rsidP="00EC1B11">
      <w:pPr>
        <w:rPr>
          <w:rFonts w:ascii="Arial" w:hAnsi="Arial" w:cs="Arial"/>
          <w:sz w:val="22"/>
          <w:szCs w:val="22"/>
        </w:rPr>
      </w:pPr>
    </w:p>
    <w:sectPr w:rsidR="00EC1B11" w:rsidRPr="00EC1B11" w:rsidSect="00F87DD3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6E70" w14:textId="77777777" w:rsidR="00A71975" w:rsidRDefault="00A71975" w:rsidP="000D32E8">
      <w:r>
        <w:separator/>
      </w:r>
    </w:p>
  </w:endnote>
  <w:endnote w:type="continuationSeparator" w:id="0">
    <w:p w14:paraId="2758F3CB" w14:textId="77777777" w:rsidR="00A71975" w:rsidRDefault="00A71975" w:rsidP="000D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B374A" w14:textId="77777777" w:rsidR="00A71975" w:rsidRDefault="00A71975" w:rsidP="000D32E8">
      <w:r>
        <w:separator/>
      </w:r>
    </w:p>
  </w:footnote>
  <w:footnote w:type="continuationSeparator" w:id="0">
    <w:p w14:paraId="3E59DF89" w14:textId="77777777" w:rsidR="00A71975" w:rsidRDefault="00A71975" w:rsidP="000D3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9802D" w14:textId="3DF021B6" w:rsidR="000D32E8" w:rsidRDefault="00F87DD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OSUP/F</w:t>
    </w:r>
    <w:r w:rsidR="00136AD2">
      <w:rPr>
        <w:rFonts w:ascii="Arial" w:hAnsi="Arial" w:cs="Arial"/>
        <w:sz w:val="18"/>
        <w:szCs w:val="18"/>
      </w:rPr>
      <w:t>100</w:t>
    </w:r>
  </w:p>
  <w:p w14:paraId="78C879A8" w14:textId="404A0A60" w:rsidR="00136AD2" w:rsidRDefault="00136AD2">
    <w:pPr>
      <w:pStyle w:val="Header"/>
    </w:pPr>
    <w:r>
      <w:rPr>
        <w:rFonts w:ascii="Arial" w:hAnsi="Arial" w:cs="Arial"/>
        <w:sz w:val="18"/>
        <w:szCs w:val="18"/>
      </w:rPr>
      <w:t>07/15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727"/>
    <w:multiLevelType w:val="hybridMultilevel"/>
    <w:tmpl w:val="1B3AC792"/>
    <w:lvl w:ilvl="0" w:tplc="7FD6A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4BE"/>
    <w:multiLevelType w:val="hybridMultilevel"/>
    <w:tmpl w:val="B73C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72D2"/>
    <w:multiLevelType w:val="hybridMultilevel"/>
    <w:tmpl w:val="088C1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201DFC"/>
    <w:multiLevelType w:val="hybridMultilevel"/>
    <w:tmpl w:val="131A4B84"/>
    <w:lvl w:ilvl="0" w:tplc="7FD6A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A2FFD"/>
    <w:multiLevelType w:val="hybridMultilevel"/>
    <w:tmpl w:val="4162BE6A"/>
    <w:lvl w:ilvl="0" w:tplc="7FD6A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13DB6"/>
    <w:multiLevelType w:val="hybridMultilevel"/>
    <w:tmpl w:val="4826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60E1B"/>
    <w:multiLevelType w:val="hybridMultilevel"/>
    <w:tmpl w:val="938277A6"/>
    <w:lvl w:ilvl="0" w:tplc="7FD6A33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11"/>
    <w:rsid w:val="000D32E8"/>
    <w:rsid w:val="00117224"/>
    <w:rsid w:val="00136AD2"/>
    <w:rsid w:val="00137402"/>
    <w:rsid w:val="001B7B6E"/>
    <w:rsid w:val="00265A7E"/>
    <w:rsid w:val="002A1FC7"/>
    <w:rsid w:val="002E1E6A"/>
    <w:rsid w:val="002F0B26"/>
    <w:rsid w:val="00302A1D"/>
    <w:rsid w:val="0030708F"/>
    <w:rsid w:val="00322757"/>
    <w:rsid w:val="00331CEF"/>
    <w:rsid w:val="003A5798"/>
    <w:rsid w:val="003D42B0"/>
    <w:rsid w:val="00411D38"/>
    <w:rsid w:val="004D5637"/>
    <w:rsid w:val="004F26A3"/>
    <w:rsid w:val="005255C0"/>
    <w:rsid w:val="005A781D"/>
    <w:rsid w:val="005C15A1"/>
    <w:rsid w:val="005D2A7B"/>
    <w:rsid w:val="0062722C"/>
    <w:rsid w:val="00652D9B"/>
    <w:rsid w:val="007329F8"/>
    <w:rsid w:val="00736B47"/>
    <w:rsid w:val="007555B9"/>
    <w:rsid w:val="00760CD3"/>
    <w:rsid w:val="008157DF"/>
    <w:rsid w:val="00876938"/>
    <w:rsid w:val="0088378A"/>
    <w:rsid w:val="00887287"/>
    <w:rsid w:val="008C0FC6"/>
    <w:rsid w:val="009D7C20"/>
    <w:rsid w:val="009F3541"/>
    <w:rsid w:val="00A46667"/>
    <w:rsid w:val="00A71975"/>
    <w:rsid w:val="00A9620E"/>
    <w:rsid w:val="00AB4DE8"/>
    <w:rsid w:val="00AE5451"/>
    <w:rsid w:val="00AE594F"/>
    <w:rsid w:val="00AF74AD"/>
    <w:rsid w:val="00B42BE8"/>
    <w:rsid w:val="00B76804"/>
    <w:rsid w:val="00BA43CD"/>
    <w:rsid w:val="00C2721B"/>
    <w:rsid w:val="00C37BC0"/>
    <w:rsid w:val="00C70B7B"/>
    <w:rsid w:val="00D510C6"/>
    <w:rsid w:val="00DB7708"/>
    <w:rsid w:val="00DE5BFD"/>
    <w:rsid w:val="00DF22FB"/>
    <w:rsid w:val="00E14EE9"/>
    <w:rsid w:val="00E54CE4"/>
    <w:rsid w:val="00E64B1F"/>
    <w:rsid w:val="00EA3FD7"/>
    <w:rsid w:val="00EC1B11"/>
    <w:rsid w:val="00ED2B49"/>
    <w:rsid w:val="00EE16E9"/>
    <w:rsid w:val="00F22361"/>
    <w:rsid w:val="00F527E9"/>
    <w:rsid w:val="00F87DD3"/>
    <w:rsid w:val="00FB24FA"/>
    <w:rsid w:val="00FE08BB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4A9A08"/>
  <w15:chartTrackingRefBased/>
  <w15:docId w15:val="{C8F093E8-1EE8-45DB-A823-B512464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1B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B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B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B47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B47"/>
    <w:rPr>
      <w:rFonts w:ascii="CG Times" w:hAnsi="CG Times"/>
      <w:b/>
      <w:bCs/>
    </w:rPr>
  </w:style>
  <w:style w:type="paragraph" w:styleId="Revision">
    <w:name w:val="Revision"/>
    <w:hidden/>
    <w:uiPriority w:val="99"/>
    <w:semiHidden/>
    <w:rsid w:val="00736B47"/>
    <w:rPr>
      <w:rFonts w:ascii="CG Times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B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3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2E8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D3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2E8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BF62-B01A-4577-8078-275AB024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C20E33BD.dotm</Template>
  <TotalTime>1</TotalTime>
  <Pages>2</Pages>
  <Words>621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Lawanna Green</dc:creator>
  <cp:keywords/>
  <dc:description/>
  <cp:lastModifiedBy>Myrtle Cain</cp:lastModifiedBy>
  <cp:revision>2</cp:revision>
  <cp:lastPrinted>2015-07-31T18:24:00Z</cp:lastPrinted>
  <dcterms:created xsi:type="dcterms:W3CDTF">2015-07-31T18:34:00Z</dcterms:created>
  <dcterms:modified xsi:type="dcterms:W3CDTF">2015-07-31T18:34:00Z</dcterms:modified>
</cp:coreProperties>
</file>