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476B9CE6" w14:textId="77777777" w:rsidR="004665D6" w:rsidRDefault="004665D6" w:rsidP="004665D6">
      <w:pPr>
        <w:pStyle w:val="ListParagraph"/>
        <w:numPr>
          <w:ilvl w:val="0"/>
          <w:numId w:val="28"/>
        </w:numPr>
        <w:spacing w:after="0"/>
      </w:pPr>
      <w:r>
        <w:t>Holiday Safety Hazards at home</w:t>
      </w:r>
    </w:p>
    <w:p w14:paraId="066EFADA" w14:textId="08920653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When leaving</w:t>
      </w:r>
      <w:r w:rsidR="00343804">
        <w:t>,</w:t>
      </w:r>
      <w:r>
        <w:t xml:space="preserve"> lock windows and doors, even if you will only be gone </w:t>
      </w:r>
      <w:r w:rsidR="00343804">
        <w:t xml:space="preserve">for </w:t>
      </w:r>
      <w:r>
        <w:t>a few minutes.</w:t>
      </w:r>
    </w:p>
    <w:p w14:paraId="6A9A21C2" w14:textId="77777777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When leaving for an extend period of time, have someone pick up your mail or have it temporarily stopped.</w:t>
      </w:r>
    </w:p>
    <w:p w14:paraId="360E01E5" w14:textId="77777777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Use an automatic timer for indoor and outdoor lights.</w:t>
      </w:r>
    </w:p>
    <w:p w14:paraId="526B6FAE" w14:textId="2980E1BE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Leave on a radio or television so tha</w:t>
      </w:r>
      <w:r w:rsidR="00343804">
        <w:t xml:space="preserve">t it sounds as if the premises </w:t>
      </w:r>
      <w:proofErr w:type="gramStart"/>
      <w:r w:rsidR="00343804">
        <w:t>is</w:t>
      </w:r>
      <w:r>
        <w:t xml:space="preserve"> occupied</w:t>
      </w:r>
      <w:proofErr w:type="gramEnd"/>
      <w:r>
        <w:t>.</w:t>
      </w:r>
    </w:p>
    <w:p w14:paraId="7EA8369B" w14:textId="77777777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>Ensure displays of gifts or valuables are not visible through windows.</w:t>
      </w:r>
    </w:p>
    <w:p w14:paraId="1643D4B1" w14:textId="36B5E271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 xml:space="preserve">Ensure doors and walkways are clear when putting up </w:t>
      </w:r>
      <w:r w:rsidR="00343804">
        <w:t>h</w:t>
      </w:r>
      <w:r>
        <w:t>oliday displays.</w:t>
      </w:r>
    </w:p>
    <w:p w14:paraId="434351DC" w14:textId="7ABCD1F4" w:rsidR="004665D6" w:rsidRDefault="004665D6" w:rsidP="004665D6">
      <w:pPr>
        <w:pStyle w:val="ListParagraph"/>
        <w:numPr>
          <w:ilvl w:val="1"/>
          <w:numId w:val="28"/>
        </w:numPr>
        <w:spacing w:after="0"/>
        <w:ind w:left="1440"/>
      </w:pPr>
      <w:r>
        <w:t xml:space="preserve">Ensure your Christmas tree </w:t>
      </w:r>
      <w:proofErr w:type="gramStart"/>
      <w:r>
        <w:t>is mounted</w:t>
      </w:r>
      <w:proofErr w:type="gramEnd"/>
      <w:r>
        <w:t xml:space="preserve"> on a sturdy base. </w:t>
      </w:r>
    </w:p>
    <w:p w14:paraId="38CF73BA" w14:textId="77777777" w:rsidR="00343804" w:rsidRDefault="00343804" w:rsidP="00343804">
      <w:pPr>
        <w:pStyle w:val="ListParagraph"/>
        <w:spacing w:after="0"/>
        <w:ind w:left="1440"/>
      </w:pPr>
    </w:p>
    <w:p w14:paraId="08A82A4F" w14:textId="77777777" w:rsidR="004665D6" w:rsidRDefault="004665D6" w:rsidP="004665D6">
      <w:pPr>
        <w:pStyle w:val="ListParagraph"/>
        <w:numPr>
          <w:ilvl w:val="0"/>
          <w:numId w:val="28"/>
        </w:numPr>
      </w:pPr>
      <w:r>
        <w:t>Holiday Safety Hazards while driving:</w:t>
      </w:r>
    </w:p>
    <w:p w14:paraId="366BD3D2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Keep all doors locked and windows closed while both in and out of the automobile.</w:t>
      </w:r>
    </w:p>
    <w:p w14:paraId="61A9DED4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If the vehicle has an alarm, be sure to set it.</w:t>
      </w:r>
    </w:p>
    <w:p w14:paraId="4CD6460E" w14:textId="09978A9A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park next to vans, trucks</w:t>
      </w:r>
      <w:r w:rsidR="00343804">
        <w:t>,</w:t>
      </w:r>
      <w:r>
        <w:t xml:space="preserve"> or camper shells with no windows.</w:t>
      </w:r>
    </w:p>
    <w:p w14:paraId="534A5529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Park as close to your destination as possible, and pay attention to where you parked.</w:t>
      </w:r>
    </w:p>
    <w:p w14:paraId="65B1EA12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Never leave children in an unoccupied car and never leave the motor running in an unoccupied car.</w:t>
      </w:r>
    </w:p>
    <w:p w14:paraId="756DAF1E" w14:textId="178632F8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 xml:space="preserve">Ensure </w:t>
      </w:r>
      <w:r w:rsidR="00343804">
        <w:t xml:space="preserve">that </w:t>
      </w:r>
      <w:r>
        <w:t>you have keys handy before you get to the vehicle.</w:t>
      </w:r>
    </w:p>
    <w:p w14:paraId="125E009B" w14:textId="77777777" w:rsidR="00343804" w:rsidRDefault="00343804" w:rsidP="00343804">
      <w:pPr>
        <w:pStyle w:val="ListParagraph"/>
        <w:ind w:left="1440"/>
      </w:pPr>
    </w:p>
    <w:p w14:paraId="0BE41866" w14:textId="6D789736" w:rsidR="004665D6" w:rsidRDefault="00343804" w:rsidP="004665D6">
      <w:pPr>
        <w:pStyle w:val="ListParagraph"/>
        <w:numPr>
          <w:ilvl w:val="0"/>
          <w:numId w:val="28"/>
        </w:numPr>
      </w:pPr>
      <w:r>
        <w:t>Holiday Safety for ATM</w:t>
      </w:r>
      <w:r w:rsidR="004665D6">
        <w:t>s</w:t>
      </w:r>
      <w:r>
        <w:t>:</w:t>
      </w:r>
    </w:p>
    <w:p w14:paraId="4888B654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Choose an ATM that is located inside or outside in a well-lit area.</w:t>
      </w:r>
    </w:p>
    <w:p w14:paraId="3FC793F9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Protect your pin number by shielding the ATM keypad with your body.</w:t>
      </w:r>
    </w:p>
    <w:p w14:paraId="6684A107" w14:textId="3B49E9BD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throw your ATM receipt away at the ATM location.</w:t>
      </w:r>
    </w:p>
    <w:p w14:paraId="1D98D0AD" w14:textId="77777777" w:rsidR="00343804" w:rsidRDefault="00343804" w:rsidP="00343804">
      <w:pPr>
        <w:pStyle w:val="ListParagraph"/>
        <w:ind w:left="1440"/>
      </w:pPr>
    </w:p>
    <w:p w14:paraId="09228720" w14:textId="464DE868" w:rsidR="004665D6" w:rsidRDefault="004665D6" w:rsidP="004665D6">
      <w:pPr>
        <w:pStyle w:val="ListParagraph"/>
        <w:numPr>
          <w:ilvl w:val="0"/>
          <w:numId w:val="28"/>
        </w:numPr>
      </w:pPr>
      <w:r>
        <w:t>Holiday Safety while shopping</w:t>
      </w:r>
      <w:r w:rsidR="00343804">
        <w:t>:</w:t>
      </w:r>
    </w:p>
    <w:p w14:paraId="0CA69A97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Shop during daylight hours if possible.</w:t>
      </w:r>
    </w:p>
    <w:p w14:paraId="6E853CAA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Dress casually and comfortably.</w:t>
      </w:r>
    </w:p>
    <w:p w14:paraId="08752D3D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Avoid wearing expensive jewelry.</w:t>
      </w:r>
    </w:p>
    <w:p w14:paraId="12552ACB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If possible, do not carry cash or a wallet.</w:t>
      </w:r>
    </w:p>
    <w:p w14:paraId="685778F9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Keep cash in your front pocket.</w:t>
      </w:r>
    </w:p>
    <w:p w14:paraId="7EC8D061" w14:textId="560DE0DE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Carry only identification, cash</w:t>
      </w:r>
      <w:r w:rsidR="00343804">
        <w:t>,</w:t>
      </w:r>
      <w:r>
        <w:t xml:space="preserve"> or credit cards that you plan to use.</w:t>
      </w:r>
    </w:p>
    <w:p w14:paraId="78EF16F7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Avoid carrying large amounts of cash.</w:t>
      </w:r>
    </w:p>
    <w:p w14:paraId="0750FA25" w14:textId="0A8A4E99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When possible, pay for purchases with a check or credit card.</w:t>
      </w:r>
    </w:p>
    <w:p w14:paraId="76F5FD93" w14:textId="77777777" w:rsidR="00343804" w:rsidRDefault="00343804" w:rsidP="00343804">
      <w:pPr>
        <w:pStyle w:val="ListParagraph"/>
        <w:ind w:left="1440"/>
      </w:pPr>
    </w:p>
    <w:p w14:paraId="48990D05" w14:textId="77777777" w:rsidR="004665D6" w:rsidRDefault="004665D6" w:rsidP="004665D6">
      <w:pPr>
        <w:pStyle w:val="ListParagraph"/>
        <w:numPr>
          <w:ilvl w:val="0"/>
          <w:numId w:val="28"/>
        </w:numPr>
      </w:pPr>
      <w:r>
        <w:lastRenderedPageBreak/>
        <w:t>Strangers at the Door:</w:t>
      </w:r>
    </w:p>
    <w:p w14:paraId="32955FC5" w14:textId="0F23BC1E" w:rsidR="004665D6" w:rsidRDefault="00343804" w:rsidP="004665D6">
      <w:pPr>
        <w:pStyle w:val="ListParagraph"/>
        <w:numPr>
          <w:ilvl w:val="1"/>
          <w:numId w:val="28"/>
        </w:numPr>
        <w:ind w:left="1440"/>
      </w:pPr>
      <w:r>
        <w:t>Stay alert -</w:t>
      </w:r>
      <w:r w:rsidR="004665D6">
        <w:t xml:space="preserve"> criminals sometimes pose as couriers delivering packages.</w:t>
      </w:r>
    </w:p>
    <w:p w14:paraId="2787D213" w14:textId="7813CDB6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Criminals commonly solicit donations for non-existent charities</w:t>
      </w:r>
      <w:r w:rsidR="00343804">
        <w:t>.  D</w:t>
      </w:r>
      <w:r>
        <w:t xml:space="preserve">onate </w:t>
      </w:r>
      <w:r w:rsidR="00343804">
        <w:t xml:space="preserve">only </w:t>
      </w:r>
      <w:r>
        <w:t>to a recognized charity.</w:t>
      </w:r>
    </w:p>
    <w:p w14:paraId="3C9519EE" w14:textId="77777777" w:rsidR="00343804" w:rsidRDefault="00343804" w:rsidP="00343804">
      <w:pPr>
        <w:pStyle w:val="ListParagraph"/>
        <w:ind w:left="1440"/>
      </w:pPr>
    </w:p>
    <w:p w14:paraId="2092DDA6" w14:textId="77777777" w:rsidR="004665D6" w:rsidRDefault="004665D6" w:rsidP="004665D6">
      <w:pPr>
        <w:pStyle w:val="ListParagraph"/>
        <w:numPr>
          <w:ilvl w:val="0"/>
          <w:numId w:val="28"/>
        </w:numPr>
      </w:pPr>
      <w:r>
        <w:t>Holiday Hazards when shopping online:</w:t>
      </w:r>
    </w:p>
    <w:p w14:paraId="3D4DEC5E" w14:textId="0258BF34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 xml:space="preserve">Be aware of </w:t>
      </w:r>
      <w:r w:rsidR="00343804">
        <w:t>i</w:t>
      </w:r>
      <w:r>
        <w:t>dentity theft, credit card fraud</w:t>
      </w:r>
      <w:r w:rsidR="00343804">
        <w:t>,</w:t>
      </w:r>
      <w:r>
        <w:t xml:space="preserve"> and counterfeit goods.</w:t>
      </w:r>
    </w:p>
    <w:p w14:paraId="71719B6D" w14:textId="21ABE903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“THINK BEFORE YOU CLICK</w:t>
      </w:r>
      <w:r w:rsidR="00343804">
        <w:t>.</w:t>
      </w:r>
      <w:r>
        <w:t>”</w:t>
      </w:r>
    </w:p>
    <w:p w14:paraId="2E64972A" w14:textId="42EE7F6A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Choose a credit card o</w:t>
      </w:r>
      <w:r w:rsidR="00343804">
        <w:t>ver a debit card;</w:t>
      </w:r>
      <w:r>
        <w:t xml:space="preserve"> disposable cards are even better.</w:t>
      </w:r>
    </w:p>
    <w:p w14:paraId="6407F5C1" w14:textId="17B54077" w:rsidR="004665D6" w:rsidRDefault="00343804" w:rsidP="004665D6">
      <w:pPr>
        <w:pStyle w:val="ListParagraph"/>
        <w:numPr>
          <w:ilvl w:val="1"/>
          <w:numId w:val="28"/>
        </w:numPr>
        <w:ind w:left="1440"/>
      </w:pPr>
      <w:r>
        <w:t>Verify w</w:t>
      </w:r>
      <w:r w:rsidR="004665D6">
        <w:t>ebsite security and limit your purchases to secure sites.</w:t>
      </w:r>
    </w:p>
    <w:p w14:paraId="206BE29A" w14:textId="1F76CE8E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shop publicly (no public computers or shared/open networks</w:t>
      </w:r>
      <w:r w:rsidR="00343804">
        <w:t>)</w:t>
      </w:r>
      <w:r>
        <w:t>.</w:t>
      </w:r>
    </w:p>
    <w:p w14:paraId="65E10097" w14:textId="2BDECF5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Do not store information elsewhere</w:t>
      </w:r>
      <w:r w:rsidR="00343804">
        <w:t>.</w:t>
      </w:r>
    </w:p>
    <w:p w14:paraId="03E0881C" w14:textId="1DC50776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Shop at trusted sites.</w:t>
      </w:r>
    </w:p>
    <w:p w14:paraId="2ABBFEF4" w14:textId="77777777" w:rsidR="00343804" w:rsidRDefault="00343804" w:rsidP="00343804">
      <w:pPr>
        <w:pStyle w:val="ListParagraph"/>
        <w:ind w:left="1440"/>
      </w:pPr>
    </w:p>
    <w:p w14:paraId="57D2592F" w14:textId="09309C41" w:rsidR="004665D6" w:rsidRDefault="004665D6" w:rsidP="004665D6">
      <w:pPr>
        <w:pStyle w:val="ListParagraph"/>
        <w:numPr>
          <w:ilvl w:val="0"/>
          <w:numId w:val="28"/>
        </w:numPr>
      </w:pPr>
      <w:r>
        <w:t>Use SCAM</w:t>
      </w:r>
      <w:r w:rsidR="00343804">
        <w:t>:</w:t>
      </w:r>
    </w:p>
    <w:p w14:paraId="3BB45710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proofErr w:type="gramStart"/>
      <w:r>
        <w:t>S(</w:t>
      </w:r>
      <w:proofErr w:type="gramEnd"/>
      <w:r>
        <w:t>tingy): Be stingy about giving your personal information to others, unless there is a reason to trust them.</w:t>
      </w:r>
    </w:p>
    <w:p w14:paraId="107CC560" w14:textId="0F52BA7E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C(heck): Check the transactions of your financial institut</w:t>
      </w:r>
      <w:r w:rsidR="00343804">
        <w:t>ion</w:t>
      </w:r>
      <w:bookmarkStart w:id="0" w:name="_GoBack"/>
      <w:bookmarkEnd w:id="0"/>
      <w:r>
        <w:t xml:space="preserve"> regularly.</w:t>
      </w:r>
    </w:p>
    <w:p w14:paraId="1DACAF12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A(sk): Ask for a copy of your credit report periodically.</w:t>
      </w:r>
    </w:p>
    <w:p w14:paraId="04C50C0D" w14:textId="77777777" w:rsidR="004665D6" w:rsidRDefault="004665D6" w:rsidP="004665D6">
      <w:pPr>
        <w:pStyle w:val="ListParagraph"/>
        <w:numPr>
          <w:ilvl w:val="1"/>
          <w:numId w:val="28"/>
        </w:numPr>
        <w:ind w:left="1440"/>
      </w:pPr>
      <w:r>
        <w:t>M(aintain): Maintain careful financial and banking records.</w:t>
      </w:r>
    </w:p>
    <w:p w14:paraId="5B5CB4AA" w14:textId="448F3D9C" w:rsidR="00DB03A9" w:rsidRDefault="00DB03A9" w:rsidP="00B242D8"/>
    <w:p w14:paraId="463B617D" w14:textId="166BFF47" w:rsidR="000D3CEF" w:rsidRDefault="000D3CEF" w:rsidP="00B242D8"/>
    <w:p w14:paraId="482D153E" w14:textId="0494CC2F" w:rsidR="004665D6" w:rsidRDefault="004665D6" w:rsidP="00B242D8"/>
    <w:p w14:paraId="5B69E6B0" w14:textId="08C3CFF3" w:rsidR="004665D6" w:rsidRDefault="004665D6" w:rsidP="00B242D8"/>
    <w:p w14:paraId="5B0D40DE" w14:textId="267E6934" w:rsidR="004665D6" w:rsidRDefault="004665D6" w:rsidP="00B242D8"/>
    <w:p w14:paraId="5A96C096" w14:textId="64672C62" w:rsidR="004665D6" w:rsidRDefault="004665D6" w:rsidP="00B242D8"/>
    <w:p w14:paraId="651E8909" w14:textId="5F7C0B83" w:rsidR="004665D6" w:rsidRDefault="004665D6" w:rsidP="00B242D8"/>
    <w:p w14:paraId="34D29A59" w14:textId="0E78288B" w:rsidR="004665D6" w:rsidRDefault="004665D6" w:rsidP="00B242D8"/>
    <w:p w14:paraId="32B818AA" w14:textId="5B970620" w:rsidR="004665D6" w:rsidRDefault="004665D6" w:rsidP="00B242D8"/>
    <w:p w14:paraId="4BD2E7B2" w14:textId="750F6AFB" w:rsidR="004665D6" w:rsidRDefault="004665D6" w:rsidP="00B242D8"/>
    <w:p w14:paraId="6B881EC9" w14:textId="6011EBBF" w:rsidR="004665D6" w:rsidRDefault="004665D6" w:rsidP="00B242D8"/>
    <w:p w14:paraId="2A8DD96D" w14:textId="1EDAF8AD" w:rsidR="004665D6" w:rsidRDefault="004665D6" w:rsidP="00B242D8"/>
    <w:p w14:paraId="5182C2AA" w14:textId="2072C7FB" w:rsidR="004665D6" w:rsidRDefault="004665D6" w:rsidP="00B242D8"/>
    <w:p w14:paraId="6E6EA1F3" w14:textId="2547E934" w:rsidR="004665D6" w:rsidRDefault="004665D6" w:rsidP="00B242D8"/>
    <w:p w14:paraId="52CA4888" w14:textId="354D5EAD" w:rsidR="004665D6" w:rsidRDefault="004665D6" w:rsidP="00B242D8"/>
    <w:p w14:paraId="7435E172" w14:textId="5216C102" w:rsidR="004665D6" w:rsidRDefault="004665D6" w:rsidP="00B242D8"/>
    <w:p w14:paraId="4DF74776" w14:textId="227D5CA0" w:rsidR="004665D6" w:rsidRDefault="004665D6" w:rsidP="00B242D8"/>
    <w:p w14:paraId="3E572909" w14:textId="30CE1FFA" w:rsidR="004665D6" w:rsidRDefault="004665D6" w:rsidP="00B242D8"/>
    <w:p w14:paraId="6EAD8E43" w14:textId="77777777" w:rsidR="004665D6" w:rsidRDefault="004665D6" w:rsidP="00B242D8"/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61E615ED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BC7E7A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4DFE3" w14:textId="77777777" w:rsidR="003154F7" w:rsidRDefault="003154F7" w:rsidP="00374DAB">
      <w:r>
        <w:separator/>
      </w:r>
    </w:p>
  </w:endnote>
  <w:endnote w:type="continuationSeparator" w:id="0">
    <w:p w14:paraId="42E1E9F9" w14:textId="77777777" w:rsidR="003154F7" w:rsidRDefault="003154F7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2549E" w14:textId="77777777" w:rsidR="003154F7" w:rsidRDefault="003154F7" w:rsidP="00374DAB">
      <w:r>
        <w:separator/>
      </w:r>
    </w:p>
  </w:footnote>
  <w:footnote w:type="continuationSeparator" w:id="0">
    <w:p w14:paraId="00DC9DD1" w14:textId="77777777" w:rsidR="003154F7" w:rsidRDefault="003154F7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2A7FF1AA" w:rsidR="00F4624E" w:rsidRPr="00180ABC" w:rsidRDefault="004665D6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Holiday Safety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2A7FF1AA" w:rsidR="00F4624E" w:rsidRPr="00180ABC" w:rsidRDefault="004665D6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Holiday Safety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68E1657"/>
    <w:multiLevelType w:val="hybridMultilevel"/>
    <w:tmpl w:val="61E61B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F402F"/>
    <w:multiLevelType w:val="hybridMultilevel"/>
    <w:tmpl w:val="C062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4" w15:restartNumberingAfterBreak="0">
    <w:nsid w:val="2C3D643C"/>
    <w:multiLevelType w:val="hybridMultilevel"/>
    <w:tmpl w:val="5DC02D8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9F1BB0"/>
    <w:multiLevelType w:val="hybridMultilevel"/>
    <w:tmpl w:val="FC40B6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1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5AD02B10"/>
    <w:multiLevelType w:val="hybridMultilevel"/>
    <w:tmpl w:val="8DF0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C34B5"/>
    <w:multiLevelType w:val="hybridMultilevel"/>
    <w:tmpl w:val="964A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F33B1"/>
    <w:multiLevelType w:val="hybridMultilevel"/>
    <w:tmpl w:val="91BC7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74760"/>
    <w:multiLevelType w:val="hybridMultilevel"/>
    <w:tmpl w:val="C4E8B3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1"/>
  </w:num>
  <w:num w:numId="7">
    <w:abstractNumId w:val="18"/>
  </w:num>
  <w:num w:numId="8">
    <w:abstractNumId w:val="18"/>
  </w:num>
  <w:num w:numId="9">
    <w:abstractNumId w:val="18"/>
  </w:num>
  <w:num w:numId="10">
    <w:abstractNumId w:val="20"/>
  </w:num>
  <w:num w:numId="11">
    <w:abstractNumId w:val="11"/>
  </w:num>
  <w:num w:numId="12">
    <w:abstractNumId w:val="10"/>
  </w:num>
  <w:num w:numId="13">
    <w:abstractNumId w:val="3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9"/>
  </w:num>
  <w:num w:numId="24">
    <w:abstractNumId w:val="0"/>
  </w:num>
  <w:num w:numId="25">
    <w:abstractNumId w:val="16"/>
  </w:num>
  <w:num w:numId="26">
    <w:abstractNumId w:val="17"/>
  </w:num>
  <w:num w:numId="27">
    <w:abstractNumId w:val="9"/>
  </w:num>
  <w:num w:numId="28">
    <w:abstractNumId w:val="30"/>
  </w:num>
  <w:num w:numId="29">
    <w:abstractNumId w:val="12"/>
  </w:num>
  <w:num w:numId="30">
    <w:abstractNumId w:val="26"/>
  </w:num>
  <w:num w:numId="31">
    <w:abstractNumId w:val="6"/>
  </w:num>
  <w:num w:numId="32">
    <w:abstractNumId w:val="8"/>
  </w:num>
  <w:num w:numId="33">
    <w:abstractNumId w:val="24"/>
  </w:num>
  <w:num w:numId="34">
    <w:abstractNumId w:val="19"/>
  </w:num>
  <w:num w:numId="35">
    <w:abstractNumId w:val="23"/>
  </w:num>
  <w:num w:numId="36">
    <w:abstractNumId w:val="27"/>
  </w:num>
  <w:num w:numId="37">
    <w:abstractNumId w:val="7"/>
  </w:num>
  <w:num w:numId="38">
    <w:abstractNumId w:val="25"/>
  </w:num>
  <w:num w:numId="39">
    <w:abstractNumId w:val="15"/>
  </w:num>
  <w:num w:numId="40">
    <w:abstractNumId w:val="4"/>
  </w:num>
  <w:num w:numId="41">
    <w:abstractNumId w:val="28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D3CEF"/>
    <w:rsid w:val="000F0DFB"/>
    <w:rsid w:val="00100FD1"/>
    <w:rsid w:val="001019E5"/>
    <w:rsid w:val="001043AF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0360"/>
    <w:rsid w:val="00224C9B"/>
    <w:rsid w:val="002372DD"/>
    <w:rsid w:val="00237ED8"/>
    <w:rsid w:val="00263375"/>
    <w:rsid w:val="002653BF"/>
    <w:rsid w:val="00270718"/>
    <w:rsid w:val="002A3EE3"/>
    <w:rsid w:val="002A48F2"/>
    <w:rsid w:val="002C29D3"/>
    <w:rsid w:val="002C4909"/>
    <w:rsid w:val="002E292B"/>
    <w:rsid w:val="002E77C1"/>
    <w:rsid w:val="003154F7"/>
    <w:rsid w:val="00343804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665D6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02807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0C7A"/>
    <w:rsid w:val="0080189E"/>
    <w:rsid w:val="008019FC"/>
    <w:rsid w:val="00820336"/>
    <w:rsid w:val="008361D0"/>
    <w:rsid w:val="0083785E"/>
    <w:rsid w:val="008651A8"/>
    <w:rsid w:val="00871018"/>
    <w:rsid w:val="00883FA9"/>
    <w:rsid w:val="00887A91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3AF8"/>
    <w:rsid w:val="00A74AF1"/>
    <w:rsid w:val="00A80413"/>
    <w:rsid w:val="00A95F6F"/>
    <w:rsid w:val="00A97E9E"/>
    <w:rsid w:val="00AB302F"/>
    <w:rsid w:val="00AD75DC"/>
    <w:rsid w:val="00AF0B07"/>
    <w:rsid w:val="00AF0C13"/>
    <w:rsid w:val="00B07EBC"/>
    <w:rsid w:val="00B14798"/>
    <w:rsid w:val="00B242D8"/>
    <w:rsid w:val="00B328F2"/>
    <w:rsid w:val="00B440AB"/>
    <w:rsid w:val="00B83400"/>
    <w:rsid w:val="00BB3CE8"/>
    <w:rsid w:val="00BB6E3F"/>
    <w:rsid w:val="00BC7E7A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B03A9"/>
    <w:rsid w:val="00DC2B1A"/>
    <w:rsid w:val="00DC50F3"/>
    <w:rsid w:val="00DD05A3"/>
    <w:rsid w:val="00DE4882"/>
    <w:rsid w:val="00DE5A78"/>
    <w:rsid w:val="00DE799A"/>
    <w:rsid w:val="00E16911"/>
    <w:rsid w:val="00E50EFE"/>
    <w:rsid w:val="00E74497"/>
    <w:rsid w:val="00E838D4"/>
    <w:rsid w:val="00E94A3A"/>
    <w:rsid w:val="00EA6982"/>
    <w:rsid w:val="00EA728F"/>
    <w:rsid w:val="00EB3A13"/>
    <w:rsid w:val="00EF4638"/>
    <w:rsid w:val="00EF7359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4-Accent4">
    <w:name w:val="Grid Table 4 Accent 4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8CB1DE" w:themeColor="accent4" w:themeTint="99"/>
        <w:left w:val="single" w:sz="4" w:space="0" w:color="8CB1DE" w:themeColor="accent4" w:themeTint="99"/>
        <w:bottom w:val="single" w:sz="4" w:space="0" w:color="8CB1DE" w:themeColor="accent4" w:themeTint="99"/>
        <w:right w:val="single" w:sz="4" w:space="0" w:color="8CB1DE" w:themeColor="accent4" w:themeTint="99"/>
        <w:insideH w:val="single" w:sz="4" w:space="0" w:color="8CB1DE" w:themeColor="accent4" w:themeTint="99"/>
        <w:insideV w:val="single" w:sz="4" w:space="0" w:color="8CB1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4"/>
          <w:left w:val="single" w:sz="4" w:space="0" w:color="407EC9" w:themeColor="accent4"/>
          <w:bottom w:val="single" w:sz="4" w:space="0" w:color="407EC9" w:themeColor="accent4"/>
          <w:right w:val="single" w:sz="4" w:space="0" w:color="407EC9" w:themeColor="accent4"/>
          <w:insideH w:val="nil"/>
          <w:insideV w:val="nil"/>
        </w:tcBorders>
        <w:shd w:val="clear" w:color="auto" w:fill="407EC9" w:themeFill="accent4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4" w:themeFillTint="33"/>
      </w:tcPr>
    </w:tblStylePr>
    <w:tblStylePr w:type="band1Horz">
      <w:tblPr/>
      <w:tcPr>
        <w:shd w:val="clear" w:color="auto" w:fill="D8E5F4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DB03A9"/>
    <w:tblPr>
      <w:tblStyleRowBandSize w:val="1"/>
      <w:tblStyleColBandSize w:val="1"/>
      <w:tblBorders>
        <w:top w:val="single" w:sz="4" w:space="0" w:color="A8CDEB" w:themeColor="accent1" w:themeTint="99"/>
        <w:left w:val="single" w:sz="4" w:space="0" w:color="A8CDEB" w:themeColor="accent1" w:themeTint="99"/>
        <w:bottom w:val="single" w:sz="4" w:space="0" w:color="A8CDEB" w:themeColor="accent1" w:themeTint="99"/>
        <w:right w:val="single" w:sz="4" w:space="0" w:color="A8CDEB" w:themeColor="accent1" w:themeTint="99"/>
        <w:insideH w:val="single" w:sz="4" w:space="0" w:color="A8CDEB" w:themeColor="accent1" w:themeTint="99"/>
        <w:insideV w:val="single" w:sz="4" w:space="0" w:color="A8CDE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ACDE" w:themeColor="accent1"/>
          <w:left w:val="single" w:sz="4" w:space="0" w:color="6FACDE" w:themeColor="accent1"/>
          <w:bottom w:val="single" w:sz="4" w:space="0" w:color="6FACDE" w:themeColor="accent1"/>
          <w:right w:val="single" w:sz="4" w:space="0" w:color="6FACDE" w:themeColor="accent1"/>
          <w:insideH w:val="nil"/>
          <w:insideV w:val="nil"/>
        </w:tcBorders>
        <w:shd w:val="clear" w:color="auto" w:fill="6FACDE" w:themeFill="accent1"/>
      </w:tcPr>
    </w:tblStylePr>
    <w:tblStylePr w:type="lastRow">
      <w:rPr>
        <w:b/>
        <w:bCs/>
      </w:rPr>
      <w:tblPr/>
      <w:tcPr>
        <w:tcBorders>
          <w:top w:val="double" w:sz="4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F8" w:themeFill="accent1" w:themeFillTint="33"/>
      </w:tcPr>
    </w:tblStylePr>
    <w:tblStylePr w:type="band1Horz">
      <w:tblPr/>
      <w:tcPr>
        <w:shd w:val="clear" w:color="auto" w:fill="E1EEF8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72516-3B74-47DB-AD44-47B452A2400F}">
  <ds:schemaRefs>
    <ds:schemaRef ds:uri="0e770d08-728b-4a77-bcf7-6637b6aaabd8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1f58718-2655-4806-9278-5aaf2ff3751b"/>
    <ds:schemaRef ds:uri="2cc20d44-25e2-42c8-b7c6-0a08ac232e0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B2ECAB-52C4-428B-BE87-48C590B2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2021-12-13T18:46:00Z</dcterms:created>
  <dcterms:modified xsi:type="dcterms:W3CDTF">2021-12-13T18:46:00Z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