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ECF1F" w14:textId="77777777" w:rsidR="00755034" w:rsidRDefault="00755034">
      <w:pPr>
        <w:pStyle w:val="BodyText"/>
        <w:rPr>
          <w:sz w:val="20"/>
        </w:rPr>
      </w:pPr>
    </w:p>
    <w:p w14:paraId="007CBA7F" w14:textId="77777777" w:rsidR="00755034" w:rsidRDefault="00755034">
      <w:pPr>
        <w:pStyle w:val="BodyText"/>
        <w:rPr>
          <w:sz w:val="20"/>
        </w:rPr>
      </w:pPr>
    </w:p>
    <w:p w14:paraId="4C0B52B5" w14:textId="77777777" w:rsidR="00755034" w:rsidRDefault="00755034">
      <w:pPr>
        <w:pStyle w:val="BodyText"/>
        <w:spacing w:before="7"/>
        <w:rPr>
          <w:sz w:val="20"/>
        </w:rPr>
      </w:pPr>
    </w:p>
    <w:p w14:paraId="6970C8E9" w14:textId="2955E3C8" w:rsidR="00755034" w:rsidRPr="000D0518" w:rsidRDefault="006D0E7B">
      <w:pPr>
        <w:spacing w:before="85" w:line="387" w:lineRule="exact"/>
        <w:ind w:left="2898" w:right="3258"/>
        <w:jc w:val="center"/>
        <w:rPr>
          <w:b/>
          <w:bCs/>
          <w:sz w:val="32"/>
          <w:szCs w:val="20"/>
        </w:rPr>
      </w:pPr>
      <w:proofErr w:type="gramStart"/>
      <w:r w:rsidRPr="000D0518">
        <w:rPr>
          <w:b/>
          <w:bCs/>
          <w:color w:val="4B4B4B"/>
          <w:sz w:val="32"/>
          <w:szCs w:val="20"/>
        </w:rPr>
        <w:t>Patient’s</w:t>
      </w:r>
      <w:proofErr w:type="gramEnd"/>
      <w:r w:rsidRPr="000D0518">
        <w:rPr>
          <w:b/>
          <w:bCs/>
          <w:color w:val="4B4B4B"/>
          <w:sz w:val="32"/>
          <w:szCs w:val="20"/>
        </w:rPr>
        <w:t xml:space="preserve"> Compensation Fund</w:t>
      </w:r>
    </w:p>
    <w:p w14:paraId="26D8922D" w14:textId="4FA5F7BE" w:rsidR="00755034" w:rsidRPr="000D0518" w:rsidRDefault="006D0E7B">
      <w:pPr>
        <w:spacing w:line="284" w:lineRule="exact"/>
        <w:ind w:left="2884" w:right="3258"/>
        <w:jc w:val="center"/>
        <w:rPr>
          <w:b/>
          <w:bCs/>
          <w:sz w:val="26"/>
        </w:rPr>
      </w:pPr>
      <w:r w:rsidRPr="000D0518">
        <w:rPr>
          <w:b/>
          <w:bCs/>
          <w:color w:val="4B4B4B"/>
          <w:sz w:val="26"/>
        </w:rPr>
        <w:t>State of Louisiana</w:t>
      </w:r>
    </w:p>
    <w:p w14:paraId="5D6C81AB" w14:textId="77777777" w:rsidR="00755034" w:rsidRPr="000D0518" w:rsidRDefault="00000000">
      <w:pPr>
        <w:spacing w:before="32"/>
        <w:ind w:left="2819" w:right="3258"/>
        <w:jc w:val="center"/>
        <w:rPr>
          <w:b/>
          <w:bCs/>
        </w:rPr>
      </w:pPr>
      <w:r w:rsidRPr="000D0518">
        <w:rPr>
          <w:b/>
          <w:bCs/>
          <w:color w:val="4B4B4B"/>
          <w:w w:val="105"/>
        </w:rPr>
        <w:t>Division of Administration</w:t>
      </w:r>
    </w:p>
    <w:p w14:paraId="26B7553D" w14:textId="77777777" w:rsidR="00755034" w:rsidRDefault="00755034">
      <w:pPr>
        <w:pStyle w:val="BodyText"/>
        <w:rPr>
          <w:sz w:val="20"/>
        </w:rPr>
      </w:pPr>
    </w:p>
    <w:p w14:paraId="624DD003" w14:textId="77777777" w:rsidR="00755034" w:rsidRDefault="00755034">
      <w:pPr>
        <w:rPr>
          <w:sz w:val="20"/>
        </w:rPr>
        <w:sectPr w:rsidR="00755034">
          <w:type w:val="continuous"/>
          <w:pgSz w:w="12240" w:h="15840"/>
          <w:pgMar w:top="20" w:right="680" w:bottom="280" w:left="1160" w:header="720" w:footer="720" w:gutter="0"/>
          <w:cols w:space="720"/>
        </w:sectPr>
      </w:pPr>
    </w:p>
    <w:p w14:paraId="5E31EE89" w14:textId="77777777" w:rsidR="00755034" w:rsidRDefault="00755034">
      <w:pPr>
        <w:pStyle w:val="BodyText"/>
        <w:spacing w:before="3"/>
        <w:rPr>
          <w:sz w:val="22"/>
        </w:rPr>
      </w:pPr>
    </w:p>
    <w:p w14:paraId="3C98E9BE" w14:textId="77777777" w:rsidR="00755034" w:rsidRDefault="00000000">
      <w:pPr>
        <w:ind w:left="146" w:right="3882"/>
        <w:jc w:val="center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AE10FFE" wp14:editId="5CC37712">
            <wp:simplePos x="0" y="0"/>
            <wp:positionH relativeFrom="page">
              <wp:posOffset>3467959</wp:posOffset>
            </wp:positionH>
            <wp:positionV relativeFrom="paragraph">
              <wp:posOffset>-131321</wp:posOffset>
            </wp:positionV>
            <wp:extent cx="854778" cy="866681"/>
            <wp:effectExtent l="0" t="0" r="0" b="0"/>
            <wp:wrapNone/>
            <wp:docPr id="1" name="image1.jpeg" descr="Seal of State of Louis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Seal of State of Louisian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778" cy="86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B4B4B"/>
          <w:w w:val="130"/>
          <w:sz w:val="18"/>
        </w:rPr>
        <w:t>JEFF LANDRY</w:t>
      </w:r>
    </w:p>
    <w:p w14:paraId="514BEE0C" w14:textId="77777777" w:rsidR="00755034" w:rsidRDefault="00000000">
      <w:pPr>
        <w:spacing w:before="23"/>
        <w:ind w:left="122" w:right="3882"/>
        <w:jc w:val="center"/>
        <w:rPr>
          <w:b/>
          <w:sz w:val="14"/>
        </w:rPr>
      </w:pPr>
      <w:r>
        <w:rPr>
          <w:b/>
          <w:color w:val="4B4B4B"/>
          <w:w w:val="110"/>
          <w:sz w:val="14"/>
        </w:rPr>
        <w:t>GOVERNOR</w:t>
      </w:r>
    </w:p>
    <w:p w14:paraId="68F81BE6" w14:textId="77777777" w:rsidR="00755034" w:rsidRDefault="00755034">
      <w:pPr>
        <w:pStyle w:val="BodyText"/>
        <w:rPr>
          <w:b/>
          <w:sz w:val="16"/>
        </w:rPr>
      </w:pPr>
    </w:p>
    <w:p w14:paraId="115322B8" w14:textId="77777777" w:rsidR="00755034" w:rsidRDefault="00755034">
      <w:pPr>
        <w:pStyle w:val="BodyText"/>
        <w:rPr>
          <w:b/>
          <w:sz w:val="16"/>
        </w:rPr>
      </w:pPr>
    </w:p>
    <w:p w14:paraId="3D67B05B" w14:textId="77777777" w:rsidR="00755034" w:rsidRDefault="00755034">
      <w:pPr>
        <w:pStyle w:val="BodyText"/>
        <w:rPr>
          <w:b/>
          <w:sz w:val="16"/>
        </w:rPr>
      </w:pPr>
    </w:p>
    <w:p w14:paraId="4DE55FC9" w14:textId="77777777" w:rsidR="00755034" w:rsidRDefault="00755034">
      <w:pPr>
        <w:pStyle w:val="BodyText"/>
        <w:rPr>
          <w:b/>
          <w:sz w:val="16"/>
        </w:rPr>
      </w:pPr>
    </w:p>
    <w:p w14:paraId="73987BDB" w14:textId="77777777" w:rsidR="00755034" w:rsidRDefault="00755034">
      <w:pPr>
        <w:pStyle w:val="BodyText"/>
        <w:rPr>
          <w:b/>
          <w:sz w:val="16"/>
        </w:rPr>
      </w:pPr>
    </w:p>
    <w:p w14:paraId="3BD47898" w14:textId="77777777" w:rsidR="00755034" w:rsidRDefault="00755034">
      <w:pPr>
        <w:pStyle w:val="BodyText"/>
        <w:spacing w:before="3"/>
        <w:rPr>
          <w:b/>
          <w:sz w:val="15"/>
        </w:rPr>
      </w:pPr>
    </w:p>
    <w:p w14:paraId="612338C2" w14:textId="77777777" w:rsidR="00755034" w:rsidRDefault="00000000">
      <w:pPr>
        <w:pStyle w:val="BodyText"/>
        <w:ind w:left="157"/>
      </w:pPr>
      <w:r>
        <w:rPr>
          <w:color w:val="4B4B4B"/>
          <w:w w:val="105"/>
        </w:rPr>
        <w:t xml:space="preserve">July </w:t>
      </w:r>
      <w:r>
        <w:rPr>
          <w:color w:val="4B4B4B"/>
          <w:spacing w:val="-6"/>
          <w:w w:val="105"/>
        </w:rPr>
        <w:t>23</w:t>
      </w:r>
      <w:r>
        <w:rPr>
          <w:color w:val="707070"/>
          <w:spacing w:val="-6"/>
          <w:w w:val="105"/>
        </w:rPr>
        <w:t>,</w:t>
      </w:r>
      <w:r>
        <w:rPr>
          <w:color w:val="707070"/>
          <w:spacing w:val="6"/>
          <w:w w:val="105"/>
        </w:rPr>
        <w:t xml:space="preserve"> </w:t>
      </w:r>
      <w:r>
        <w:rPr>
          <w:color w:val="4B4B4B"/>
          <w:w w:val="105"/>
        </w:rPr>
        <w:t>2026</w:t>
      </w:r>
    </w:p>
    <w:p w14:paraId="1F4546A4" w14:textId="77777777" w:rsidR="00755034" w:rsidRDefault="00755034">
      <w:pPr>
        <w:pStyle w:val="BodyText"/>
        <w:rPr>
          <w:sz w:val="26"/>
        </w:rPr>
      </w:pPr>
    </w:p>
    <w:p w14:paraId="3FB3C517" w14:textId="77777777" w:rsidR="00755034" w:rsidRDefault="00755034">
      <w:pPr>
        <w:pStyle w:val="BodyText"/>
        <w:rPr>
          <w:sz w:val="26"/>
        </w:rPr>
      </w:pPr>
    </w:p>
    <w:p w14:paraId="6E9CD014" w14:textId="77777777" w:rsidR="00755034" w:rsidRDefault="00755034">
      <w:pPr>
        <w:pStyle w:val="BodyText"/>
        <w:rPr>
          <w:sz w:val="26"/>
        </w:rPr>
      </w:pPr>
    </w:p>
    <w:p w14:paraId="10E78F79" w14:textId="77777777" w:rsidR="00755034" w:rsidRDefault="00000000">
      <w:pPr>
        <w:pStyle w:val="BodyText"/>
        <w:spacing w:before="223" w:line="249" w:lineRule="auto"/>
        <w:ind w:left="878" w:right="1378" w:hanging="726"/>
      </w:pPr>
      <w:r>
        <w:rPr>
          <w:color w:val="4B4B4B"/>
        </w:rPr>
        <w:t>From</w:t>
      </w:r>
      <w:r>
        <w:rPr>
          <w:color w:val="707070"/>
        </w:rPr>
        <w:t xml:space="preserve">: </w:t>
      </w:r>
      <w:r>
        <w:rPr>
          <w:color w:val="4B4B4B"/>
        </w:rPr>
        <w:t>Ken Schnauder</w:t>
      </w:r>
      <w:r>
        <w:rPr>
          <w:color w:val="707070"/>
        </w:rPr>
        <w:t xml:space="preserve">, </w:t>
      </w:r>
      <w:r>
        <w:rPr>
          <w:color w:val="4B4B4B"/>
        </w:rPr>
        <w:t>CPCU</w:t>
      </w:r>
      <w:r>
        <w:rPr>
          <w:color w:val="707070"/>
        </w:rPr>
        <w:t xml:space="preserve">, </w:t>
      </w:r>
      <w:r>
        <w:rPr>
          <w:color w:val="4B4B4B"/>
        </w:rPr>
        <w:t>AIC Executive Director</w:t>
      </w:r>
    </w:p>
    <w:p w14:paraId="1E77C058" w14:textId="77777777" w:rsidR="00755034" w:rsidRDefault="00000000">
      <w:pPr>
        <w:pStyle w:val="BodyText"/>
        <w:spacing w:before="5"/>
        <w:rPr>
          <w:sz w:val="20"/>
        </w:rPr>
      </w:pPr>
      <w:r>
        <w:br w:type="column"/>
      </w:r>
    </w:p>
    <w:p w14:paraId="731AA9F6" w14:textId="77777777" w:rsidR="00755034" w:rsidRPr="006D0E7B" w:rsidRDefault="00000000">
      <w:pPr>
        <w:ind w:left="591"/>
        <w:rPr>
          <w:rFonts w:ascii="Arial"/>
          <w:b/>
          <w:sz w:val="16"/>
          <w:lang w:val="fr-FR"/>
        </w:rPr>
      </w:pPr>
      <w:r w:rsidRPr="006D0E7B">
        <w:rPr>
          <w:rFonts w:ascii="Arial"/>
          <w:b/>
          <w:color w:val="4B4B4B"/>
          <w:w w:val="125"/>
          <w:sz w:val="16"/>
          <w:lang w:val="fr-FR"/>
        </w:rPr>
        <w:t>P.O. Box 3718</w:t>
      </w:r>
    </w:p>
    <w:p w14:paraId="60F732D5" w14:textId="77777777" w:rsidR="00755034" w:rsidRPr="006D0E7B" w:rsidRDefault="00000000">
      <w:pPr>
        <w:spacing w:before="4" w:line="169" w:lineRule="exact"/>
        <w:ind w:left="145" w:right="107"/>
        <w:jc w:val="center"/>
        <w:rPr>
          <w:rFonts w:ascii="Arial"/>
          <w:b/>
          <w:sz w:val="16"/>
          <w:lang w:val="fr-FR"/>
        </w:rPr>
      </w:pPr>
      <w:r w:rsidRPr="006D0E7B">
        <w:rPr>
          <w:b/>
          <w:color w:val="4B4B4B"/>
          <w:w w:val="120"/>
          <w:sz w:val="14"/>
          <w:lang w:val="fr-FR"/>
        </w:rPr>
        <w:t xml:space="preserve">BATON ROUGE, </w:t>
      </w:r>
      <w:r w:rsidRPr="006D0E7B">
        <w:rPr>
          <w:rFonts w:ascii="Arial"/>
          <w:b/>
          <w:color w:val="4B4B4B"/>
          <w:w w:val="120"/>
          <w:sz w:val="16"/>
          <w:lang w:val="fr-FR"/>
        </w:rPr>
        <w:t>LA 70821</w:t>
      </w:r>
    </w:p>
    <w:p w14:paraId="066607F3" w14:textId="454187CE" w:rsidR="00755034" w:rsidRDefault="006D0E7B">
      <w:pPr>
        <w:spacing w:line="215" w:lineRule="exact"/>
        <w:ind w:left="136" w:right="107"/>
        <w:jc w:val="center"/>
        <w:rPr>
          <w:rFonts w:ascii="Arial"/>
          <w:sz w:val="20"/>
        </w:rPr>
      </w:pPr>
      <w:r>
        <w:rPr>
          <w:rFonts w:ascii="Arial"/>
          <w:sz w:val="20"/>
        </w:rPr>
        <w:t>(225) 342-5200</w:t>
      </w:r>
    </w:p>
    <w:p w14:paraId="134B9E57" w14:textId="74A623B9" w:rsidR="00755034" w:rsidRDefault="00000000">
      <w:pPr>
        <w:spacing w:before="19"/>
        <w:ind w:left="127" w:right="107"/>
        <w:jc w:val="center"/>
        <w:rPr>
          <w:rFonts w:ascii="Arial"/>
          <w:b/>
          <w:sz w:val="16"/>
        </w:rPr>
      </w:pPr>
      <w:r>
        <w:rPr>
          <w:rFonts w:ascii="Arial"/>
          <w:b/>
          <w:color w:val="4B4B4B"/>
          <w:w w:val="140"/>
          <w:sz w:val="16"/>
        </w:rPr>
        <w:t>(866)</w:t>
      </w:r>
      <w:r>
        <w:rPr>
          <w:rFonts w:ascii="Arial"/>
          <w:b/>
          <w:color w:val="4B4B4B"/>
          <w:spacing w:val="-8"/>
          <w:w w:val="140"/>
          <w:sz w:val="16"/>
        </w:rPr>
        <w:t xml:space="preserve"> </w:t>
      </w:r>
      <w:r>
        <w:rPr>
          <w:rFonts w:ascii="Arial"/>
          <w:b/>
          <w:color w:val="4B4B4B"/>
          <w:w w:val="140"/>
          <w:sz w:val="16"/>
        </w:rPr>
        <w:t>469-9</w:t>
      </w:r>
      <w:r w:rsidR="006D0E7B">
        <w:rPr>
          <w:rFonts w:ascii="Arial"/>
          <w:b/>
          <w:color w:val="4B4B4B"/>
          <w:w w:val="140"/>
          <w:sz w:val="16"/>
        </w:rPr>
        <w:t>555</w:t>
      </w:r>
    </w:p>
    <w:p w14:paraId="570637C3" w14:textId="77777777" w:rsidR="00755034" w:rsidRDefault="00755034">
      <w:pPr>
        <w:jc w:val="center"/>
        <w:rPr>
          <w:rFonts w:ascii="Arial"/>
          <w:sz w:val="16"/>
        </w:rPr>
        <w:sectPr w:rsidR="00755034">
          <w:type w:val="continuous"/>
          <w:pgSz w:w="12240" w:h="15840"/>
          <w:pgMar w:top="20" w:right="680" w:bottom="280" w:left="1160" w:header="720" w:footer="720" w:gutter="0"/>
          <w:cols w:num="2" w:space="720" w:equalWidth="0">
            <w:col w:w="5688" w:space="2236"/>
            <w:col w:w="2476"/>
          </w:cols>
        </w:sectPr>
      </w:pPr>
    </w:p>
    <w:p w14:paraId="24960A9C" w14:textId="4EA7F830" w:rsidR="00755034" w:rsidRDefault="00C7773E">
      <w:pPr>
        <w:pStyle w:val="BodyText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005C7" wp14:editId="4128A0A7">
                <wp:simplePos x="0" y="0"/>
                <wp:positionH relativeFrom="page">
                  <wp:posOffset>1270</wp:posOffset>
                </wp:positionH>
                <wp:positionV relativeFrom="page">
                  <wp:posOffset>4797425</wp:posOffset>
                </wp:positionV>
                <wp:extent cx="0" cy="0"/>
                <wp:effectExtent l="0" t="0" r="0" b="0"/>
                <wp:wrapNone/>
                <wp:docPr id="16860164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9E39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377.75pt" to=".1pt,3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" strokeweight=".16961mm">
                <w10:wrap anchorx="page" anchory="page"/>
              </v:line>
            </w:pict>
          </mc:Fallback>
        </mc:AlternateContent>
      </w:r>
    </w:p>
    <w:p w14:paraId="2B21C330" w14:textId="77777777" w:rsidR="00755034" w:rsidRDefault="00755034">
      <w:pPr>
        <w:pStyle w:val="BodyText"/>
        <w:spacing w:before="3"/>
        <w:rPr>
          <w:rFonts w:ascii="Arial"/>
          <w:b/>
          <w:sz w:val="18"/>
        </w:rPr>
      </w:pPr>
    </w:p>
    <w:p w14:paraId="4949CAF9" w14:textId="77777777" w:rsidR="00755034" w:rsidRDefault="00000000">
      <w:pPr>
        <w:spacing w:before="91"/>
        <w:ind w:left="874"/>
        <w:rPr>
          <w:b/>
          <w:sz w:val="23"/>
        </w:rPr>
      </w:pPr>
      <w:r>
        <w:rPr>
          <w:b/>
          <w:color w:val="4B4B4B"/>
          <w:w w:val="105"/>
          <w:sz w:val="23"/>
        </w:rPr>
        <w:t>RE: New Rates for the PCF effective 9/2/2026</w:t>
      </w:r>
    </w:p>
    <w:p w14:paraId="2EFC97B0" w14:textId="77777777" w:rsidR="00755034" w:rsidRDefault="00755034">
      <w:pPr>
        <w:pStyle w:val="BodyText"/>
        <w:rPr>
          <w:b/>
          <w:sz w:val="26"/>
        </w:rPr>
      </w:pPr>
    </w:p>
    <w:p w14:paraId="2B53FDA0" w14:textId="77777777" w:rsidR="00755034" w:rsidRDefault="00755034">
      <w:pPr>
        <w:pStyle w:val="BodyText"/>
        <w:spacing w:before="8"/>
        <w:rPr>
          <w:b/>
        </w:rPr>
      </w:pPr>
    </w:p>
    <w:p w14:paraId="5035AFED" w14:textId="77777777" w:rsidR="00755034" w:rsidRDefault="00000000">
      <w:pPr>
        <w:pStyle w:val="BodyText"/>
        <w:spacing w:line="249" w:lineRule="auto"/>
        <w:ind w:left="160" w:right="992" w:hanging="5"/>
      </w:pPr>
      <w:r>
        <w:rPr>
          <w:color w:val="4B4B4B"/>
          <w:w w:val="105"/>
        </w:rPr>
        <w:t xml:space="preserve">In accordance </w:t>
      </w:r>
      <w:r>
        <w:rPr>
          <w:color w:val="5B5B5B"/>
          <w:w w:val="105"/>
        </w:rPr>
        <w:t xml:space="preserve">with </w:t>
      </w:r>
      <w:r>
        <w:rPr>
          <w:color w:val="4B4B4B"/>
          <w:w w:val="105"/>
        </w:rPr>
        <w:t>the annual actuarial study</w:t>
      </w:r>
      <w:r>
        <w:rPr>
          <w:color w:val="707070"/>
          <w:w w:val="105"/>
        </w:rPr>
        <w:t xml:space="preserve">, </w:t>
      </w:r>
      <w:r>
        <w:rPr>
          <w:color w:val="4B4B4B"/>
          <w:w w:val="105"/>
        </w:rPr>
        <w:t>the PCF Oversight Board determined there was justification for the following rate changes for all healthcare providers enrolled as stated below</w:t>
      </w:r>
      <w:r>
        <w:rPr>
          <w:color w:val="707070"/>
          <w:w w:val="105"/>
        </w:rPr>
        <w:t>.</w:t>
      </w:r>
    </w:p>
    <w:p w14:paraId="36AAF7E8" w14:textId="77777777" w:rsidR="00755034" w:rsidRDefault="00755034">
      <w:pPr>
        <w:pStyle w:val="BodyText"/>
        <w:rPr>
          <w:sz w:val="24"/>
        </w:rPr>
      </w:pPr>
    </w:p>
    <w:p w14:paraId="57F54CD5" w14:textId="77777777" w:rsidR="00755034" w:rsidRDefault="00000000">
      <w:pPr>
        <w:pStyle w:val="BodyText"/>
        <w:spacing w:before="1"/>
        <w:ind w:left="164"/>
      </w:pPr>
      <w:r>
        <w:rPr>
          <w:color w:val="4B4B4B"/>
        </w:rPr>
        <w:t>The actual percentage changes as of 09</w:t>
      </w:r>
      <w:r>
        <w:rPr>
          <w:color w:val="707070"/>
        </w:rPr>
        <w:t>/</w:t>
      </w:r>
      <w:r>
        <w:rPr>
          <w:color w:val="4B4B4B"/>
        </w:rPr>
        <w:t xml:space="preserve">02/2026 </w:t>
      </w:r>
      <w:r>
        <w:rPr>
          <w:color w:val="5B5B5B"/>
        </w:rPr>
        <w:t xml:space="preserve">will </w:t>
      </w:r>
      <w:r>
        <w:rPr>
          <w:color w:val="4B4B4B"/>
        </w:rPr>
        <w:t xml:space="preserve">be as </w:t>
      </w:r>
      <w:proofErr w:type="gramStart"/>
      <w:r>
        <w:rPr>
          <w:color w:val="4B4B4B"/>
        </w:rPr>
        <w:t xml:space="preserve">follows </w:t>
      </w:r>
      <w:r>
        <w:rPr>
          <w:color w:val="707070"/>
        </w:rPr>
        <w:t>:</w:t>
      </w:r>
      <w:proofErr w:type="gramEnd"/>
    </w:p>
    <w:p w14:paraId="78916124" w14:textId="77777777" w:rsidR="00755034" w:rsidRDefault="00755034">
      <w:pPr>
        <w:pStyle w:val="BodyText"/>
        <w:rPr>
          <w:sz w:val="20"/>
        </w:rPr>
      </w:pPr>
    </w:p>
    <w:p w14:paraId="7C489324" w14:textId="77777777" w:rsidR="00755034" w:rsidRDefault="00755034">
      <w:pPr>
        <w:pStyle w:val="BodyText"/>
        <w:rPr>
          <w:sz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6"/>
        <w:gridCol w:w="1309"/>
      </w:tblGrid>
      <w:tr w:rsidR="00755034" w14:paraId="77CAA7CE" w14:textId="77777777">
        <w:trPr>
          <w:trHeight w:val="406"/>
        </w:trPr>
        <w:tc>
          <w:tcPr>
            <w:tcW w:w="4786" w:type="dxa"/>
          </w:tcPr>
          <w:p w14:paraId="0741D008" w14:textId="77777777" w:rsidR="00755034" w:rsidRDefault="00000000">
            <w:pPr>
              <w:pStyle w:val="TableParagraph"/>
              <w:spacing w:before="0" w:line="255" w:lineRule="exact"/>
              <w:ind w:left="50"/>
              <w:rPr>
                <w:sz w:val="23"/>
              </w:rPr>
            </w:pPr>
            <w:r>
              <w:rPr>
                <w:color w:val="5B5B5B"/>
                <w:w w:val="105"/>
                <w:sz w:val="23"/>
              </w:rPr>
              <w:t>Hospitals</w:t>
            </w:r>
          </w:p>
        </w:tc>
        <w:tc>
          <w:tcPr>
            <w:tcW w:w="1309" w:type="dxa"/>
          </w:tcPr>
          <w:p w14:paraId="02D67171" w14:textId="77777777" w:rsidR="00755034" w:rsidRDefault="00000000">
            <w:pPr>
              <w:pStyle w:val="TableParagraph"/>
              <w:spacing w:before="0" w:line="255" w:lineRule="exact"/>
              <w:ind w:right="60"/>
              <w:jc w:val="right"/>
              <w:rPr>
                <w:sz w:val="23"/>
              </w:rPr>
            </w:pPr>
            <w:r>
              <w:rPr>
                <w:color w:val="5B5B5B"/>
                <w:sz w:val="23"/>
              </w:rPr>
              <w:t>+4.5%</w:t>
            </w:r>
          </w:p>
        </w:tc>
      </w:tr>
      <w:tr w:rsidR="00755034" w14:paraId="364754A6" w14:textId="77777777">
        <w:trPr>
          <w:trHeight w:val="555"/>
        </w:trPr>
        <w:tc>
          <w:tcPr>
            <w:tcW w:w="4786" w:type="dxa"/>
          </w:tcPr>
          <w:p w14:paraId="34948D0A" w14:textId="77777777" w:rsidR="00755034" w:rsidRDefault="00000000">
            <w:pPr>
              <w:pStyle w:val="TableParagraph"/>
              <w:spacing w:before="141"/>
              <w:ind w:left="56"/>
              <w:rPr>
                <w:sz w:val="23"/>
              </w:rPr>
            </w:pPr>
            <w:r>
              <w:rPr>
                <w:color w:val="4B4B4B"/>
                <w:w w:val="105"/>
                <w:sz w:val="23"/>
              </w:rPr>
              <w:t>Nursing Homes</w:t>
            </w:r>
          </w:p>
        </w:tc>
        <w:tc>
          <w:tcPr>
            <w:tcW w:w="1309" w:type="dxa"/>
          </w:tcPr>
          <w:p w14:paraId="41F38523" w14:textId="77777777" w:rsidR="00755034" w:rsidRDefault="00000000">
            <w:pPr>
              <w:pStyle w:val="TableParagraph"/>
              <w:spacing w:before="141"/>
              <w:ind w:right="61"/>
              <w:jc w:val="right"/>
              <w:rPr>
                <w:sz w:val="23"/>
              </w:rPr>
            </w:pPr>
            <w:r>
              <w:rPr>
                <w:color w:val="707070"/>
                <w:sz w:val="23"/>
              </w:rPr>
              <w:t>+</w:t>
            </w:r>
            <w:r>
              <w:rPr>
                <w:color w:val="4B4B4B"/>
                <w:sz w:val="23"/>
              </w:rPr>
              <w:t>2</w:t>
            </w:r>
            <w:r>
              <w:rPr>
                <w:color w:val="707070"/>
                <w:sz w:val="23"/>
              </w:rPr>
              <w:t>.</w:t>
            </w:r>
            <w:r>
              <w:rPr>
                <w:color w:val="4B4B4B"/>
                <w:sz w:val="23"/>
              </w:rPr>
              <w:t>55%</w:t>
            </w:r>
          </w:p>
        </w:tc>
      </w:tr>
      <w:tr w:rsidR="00755034" w14:paraId="3FE7D2CD" w14:textId="77777777">
        <w:trPr>
          <w:trHeight w:val="550"/>
        </w:trPr>
        <w:tc>
          <w:tcPr>
            <w:tcW w:w="4786" w:type="dxa"/>
          </w:tcPr>
          <w:p w14:paraId="69874256" w14:textId="77777777" w:rsidR="00755034" w:rsidRDefault="00000000">
            <w:pPr>
              <w:pStyle w:val="TableParagraph"/>
              <w:ind w:left="54"/>
              <w:rPr>
                <w:sz w:val="23"/>
              </w:rPr>
            </w:pPr>
            <w:r>
              <w:rPr>
                <w:color w:val="4B4B4B"/>
                <w:w w:val="105"/>
                <w:sz w:val="23"/>
              </w:rPr>
              <w:t>Dentists and Oral Surgeons</w:t>
            </w:r>
          </w:p>
        </w:tc>
        <w:tc>
          <w:tcPr>
            <w:tcW w:w="1309" w:type="dxa"/>
          </w:tcPr>
          <w:p w14:paraId="0508DBE0" w14:textId="77777777" w:rsidR="00755034" w:rsidRDefault="00000000">
            <w:pPr>
              <w:pStyle w:val="TableParagraph"/>
              <w:ind w:right="47"/>
              <w:jc w:val="right"/>
              <w:rPr>
                <w:sz w:val="23"/>
              </w:rPr>
            </w:pPr>
            <w:r>
              <w:rPr>
                <w:color w:val="707070"/>
                <w:w w:val="105"/>
                <w:sz w:val="23"/>
              </w:rPr>
              <w:t>+</w:t>
            </w:r>
            <w:r>
              <w:rPr>
                <w:color w:val="4B4B4B"/>
                <w:w w:val="105"/>
                <w:sz w:val="23"/>
              </w:rPr>
              <w:t>1.4%</w:t>
            </w:r>
          </w:p>
        </w:tc>
      </w:tr>
      <w:tr w:rsidR="00755034" w14:paraId="59B84C05" w14:textId="77777777">
        <w:trPr>
          <w:trHeight w:val="550"/>
        </w:trPr>
        <w:tc>
          <w:tcPr>
            <w:tcW w:w="4786" w:type="dxa"/>
          </w:tcPr>
          <w:p w14:paraId="3B8EE5AE" w14:textId="77777777" w:rsidR="00755034" w:rsidRDefault="00000000">
            <w:pPr>
              <w:pStyle w:val="TableParagraph"/>
              <w:spacing w:before="137"/>
              <w:ind w:left="55"/>
              <w:rPr>
                <w:sz w:val="23"/>
              </w:rPr>
            </w:pPr>
            <w:r>
              <w:rPr>
                <w:color w:val="4B4B4B"/>
                <w:w w:val="105"/>
                <w:sz w:val="23"/>
              </w:rPr>
              <w:t>Physician Class 4</w:t>
            </w:r>
          </w:p>
        </w:tc>
        <w:tc>
          <w:tcPr>
            <w:tcW w:w="1309" w:type="dxa"/>
          </w:tcPr>
          <w:p w14:paraId="740E0A91" w14:textId="77777777" w:rsidR="00755034" w:rsidRDefault="00000000">
            <w:pPr>
              <w:pStyle w:val="TableParagraph"/>
              <w:spacing w:before="137"/>
              <w:ind w:right="94"/>
              <w:jc w:val="right"/>
              <w:rPr>
                <w:sz w:val="23"/>
              </w:rPr>
            </w:pPr>
            <w:r>
              <w:rPr>
                <w:color w:val="707070"/>
                <w:sz w:val="23"/>
              </w:rPr>
              <w:t>+3</w:t>
            </w:r>
            <w:r>
              <w:rPr>
                <w:color w:val="4B4B4B"/>
                <w:sz w:val="23"/>
              </w:rPr>
              <w:t>.25%</w:t>
            </w:r>
          </w:p>
        </w:tc>
      </w:tr>
      <w:tr w:rsidR="00755034" w14:paraId="2F442A28" w14:textId="77777777">
        <w:trPr>
          <w:trHeight w:val="537"/>
        </w:trPr>
        <w:tc>
          <w:tcPr>
            <w:tcW w:w="4786" w:type="dxa"/>
          </w:tcPr>
          <w:p w14:paraId="0E4932A9" w14:textId="77777777" w:rsidR="00755034" w:rsidRDefault="00000000">
            <w:pPr>
              <w:pStyle w:val="TableParagraph"/>
              <w:ind w:left="66"/>
              <w:rPr>
                <w:sz w:val="23"/>
              </w:rPr>
            </w:pPr>
            <w:r>
              <w:rPr>
                <w:color w:val="4B4B4B"/>
                <w:sz w:val="23"/>
              </w:rPr>
              <w:t>All Other Physicians Classes</w:t>
            </w:r>
          </w:p>
        </w:tc>
        <w:tc>
          <w:tcPr>
            <w:tcW w:w="1309" w:type="dxa"/>
          </w:tcPr>
          <w:p w14:paraId="292944E1" w14:textId="77777777" w:rsidR="00755034" w:rsidRDefault="00000000">
            <w:pPr>
              <w:pStyle w:val="TableParagraph"/>
              <w:ind w:right="64"/>
              <w:jc w:val="right"/>
              <w:rPr>
                <w:sz w:val="23"/>
              </w:rPr>
            </w:pPr>
            <w:r>
              <w:rPr>
                <w:color w:val="707070"/>
                <w:sz w:val="23"/>
              </w:rPr>
              <w:t>+</w:t>
            </w:r>
            <w:r>
              <w:rPr>
                <w:color w:val="4B4B4B"/>
                <w:sz w:val="23"/>
              </w:rPr>
              <w:t>1.95%</w:t>
            </w:r>
          </w:p>
        </w:tc>
      </w:tr>
      <w:tr w:rsidR="00755034" w14:paraId="2ABF8D48" w14:textId="77777777">
        <w:trPr>
          <w:trHeight w:val="562"/>
        </w:trPr>
        <w:tc>
          <w:tcPr>
            <w:tcW w:w="4786" w:type="dxa"/>
          </w:tcPr>
          <w:p w14:paraId="6511FFC5" w14:textId="77777777" w:rsidR="00755034" w:rsidRDefault="00000000">
            <w:pPr>
              <w:pStyle w:val="TableParagraph"/>
              <w:spacing w:before="145"/>
              <w:ind w:left="56"/>
              <w:rPr>
                <w:sz w:val="23"/>
              </w:rPr>
            </w:pPr>
            <w:r>
              <w:rPr>
                <w:color w:val="5B5B5B"/>
                <w:w w:val="105"/>
                <w:sz w:val="23"/>
              </w:rPr>
              <w:t xml:space="preserve">Nurse </w:t>
            </w:r>
            <w:r>
              <w:rPr>
                <w:color w:val="4B4B4B"/>
                <w:w w:val="105"/>
                <w:sz w:val="23"/>
              </w:rPr>
              <w:t>Midwife</w:t>
            </w:r>
          </w:p>
        </w:tc>
        <w:tc>
          <w:tcPr>
            <w:tcW w:w="1309" w:type="dxa"/>
          </w:tcPr>
          <w:p w14:paraId="7E8E0E17" w14:textId="77777777" w:rsidR="00755034" w:rsidRDefault="00000000">
            <w:pPr>
              <w:pStyle w:val="TableParagraph"/>
              <w:spacing w:before="125"/>
              <w:ind w:right="54"/>
              <w:jc w:val="right"/>
              <w:rPr>
                <w:sz w:val="23"/>
              </w:rPr>
            </w:pPr>
            <w:r>
              <w:rPr>
                <w:rFonts w:ascii="Arial"/>
                <w:color w:val="707070"/>
                <w:w w:val="105"/>
                <w:sz w:val="25"/>
              </w:rPr>
              <w:t xml:space="preserve">+ </w:t>
            </w:r>
            <w:r>
              <w:rPr>
                <w:color w:val="5B5B5B"/>
                <w:w w:val="105"/>
                <w:sz w:val="23"/>
              </w:rPr>
              <w:t>1.95%</w:t>
            </w:r>
          </w:p>
        </w:tc>
      </w:tr>
      <w:tr w:rsidR="00755034" w14:paraId="3CCC2EF3" w14:textId="77777777">
        <w:trPr>
          <w:trHeight w:val="548"/>
        </w:trPr>
        <w:tc>
          <w:tcPr>
            <w:tcW w:w="4786" w:type="dxa"/>
          </w:tcPr>
          <w:p w14:paraId="119BBFA0" w14:textId="77777777" w:rsidR="00755034" w:rsidRDefault="00000000">
            <w:pPr>
              <w:pStyle w:val="TableParagraph"/>
              <w:spacing w:before="140"/>
              <w:ind w:left="66"/>
              <w:rPr>
                <w:sz w:val="23"/>
              </w:rPr>
            </w:pPr>
            <w:r>
              <w:rPr>
                <w:color w:val="4B4B4B"/>
                <w:w w:val="105"/>
                <w:sz w:val="23"/>
              </w:rPr>
              <w:t>Advanced Practice Nurses</w:t>
            </w:r>
          </w:p>
        </w:tc>
        <w:tc>
          <w:tcPr>
            <w:tcW w:w="1309" w:type="dxa"/>
          </w:tcPr>
          <w:p w14:paraId="1F132702" w14:textId="77777777" w:rsidR="00755034" w:rsidRDefault="00000000">
            <w:pPr>
              <w:pStyle w:val="TableParagraph"/>
              <w:spacing w:before="140"/>
              <w:ind w:right="64"/>
              <w:jc w:val="right"/>
              <w:rPr>
                <w:sz w:val="23"/>
              </w:rPr>
            </w:pPr>
            <w:r>
              <w:rPr>
                <w:color w:val="4B4B4B"/>
                <w:sz w:val="23"/>
              </w:rPr>
              <w:t>0%</w:t>
            </w:r>
          </w:p>
        </w:tc>
      </w:tr>
      <w:tr w:rsidR="00755034" w14:paraId="38AE5DC2" w14:textId="77777777">
        <w:trPr>
          <w:trHeight w:val="403"/>
        </w:trPr>
        <w:tc>
          <w:tcPr>
            <w:tcW w:w="4786" w:type="dxa"/>
          </w:tcPr>
          <w:p w14:paraId="0031F51A" w14:textId="77777777" w:rsidR="00755034" w:rsidRDefault="00000000">
            <w:pPr>
              <w:pStyle w:val="TableParagraph"/>
              <w:spacing w:line="245" w:lineRule="exact"/>
              <w:ind w:left="59"/>
              <w:rPr>
                <w:sz w:val="23"/>
              </w:rPr>
            </w:pPr>
            <w:r>
              <w:rPr>
                <w:color w:val="4B4B4B"/>
                <w:w w:val="105"/>
                <w:sz w:val="23"/>
              </w:rPr>
              <w:t>Chiropractors</w:t>
            </w:r>
            <w:r>
              <w:rPr>
                <w:color w:val="707070"/>
                <w:w w:val="105"/>
                <w:sz w:val="23"/>
              </w:rPr>
              <w:t xml:space="preserve">, </w:t>
            </w:r>
            <w:r>
              <w:rPr>
                <w:color w:val="4B4B4B"/>
                <w:w w:val="105"/>
                <w:sz w:val="23"/>
              </w:rPr>
              <w:t>Optometrists and Pharmacists</w:t>
            </w:r>
          </w:p>
        </w:tc>
        <w:tc>
          <w:tcPr>
            <w:tcW w:w="1309" w:type="dxa"/>
          </w:tcPr>
          <w:p w14:paraId="17948B3D" w14:textId="77777777" w:rsidR="00755034" w:rsidRDefault="00000000">
            <w:pPr>
              <w:pStyle w:val="TableParagraph"/>
              <w:spacing w:before="134" w:line="249" w:lineRule="exact"/>
              <w:ind w:right="64"/>
              <w:jc w:val="right"/>
              <w:rPr>
                <w:sz w:val="23"/>
              </w:rPr>
            </w:pPr>
            <w:r>
              <w:rPr>
                <w:color w:val="4B4B4B"/>
                <w:sz w:val="23"/>
              </w:rPr>
              <w:t>0%</w:t>
            </w:r>
          </w:p>
        </w:tc>
      </w:tr>
    </w:tbl>
    <w:p w14:paraId="144F9EF9" w14:textId="77777777" w:rsidR="00755034" w:rsidRDefault="00755034">
      <w:pPr>
        <w:pStyle w:val="BodyText"/>
        <w:rPr>
          <w:sz w:val="20"/>
        </w:rPr>
      </w:pPr>
    </w:p>
    <w:p w14:paraId="4D9264B0" w14:textId="77777777" w:rsidR="00755034" w:rsidRDefault="00755034">
      <w:pPr>
        <w:pStyle w:val="BodyText"/>
        <w:spacing w:before="10"/>
        <w:rPr>
          <w:sz w:val="18"/>
        </w:rPr>
      </w:pPr>
    </w:p>
    <w:p w14:paraId="042D908E" w14:textId="77777777" w:rsidR="00755034" w:rsidRDefault="00000000">
      <w:pPr>
        <w:pStyle w:val="BodyText"/>
        <w:spacing w:before="91" w:line="491" w:lineRule="auto"/>
        <w:ind w:left="164" w:right="3961" w:hanging="18"/>
      </w:pPr>
      <w:r>
        <w:rPr>
          <w:color w:val="707070"/>
        </w:rPr>
        <w:t xml:space="preserve">" </w:t>
      </w:r>
      <w:r>
        <w:rPr>
          <w:color w:val="4B4B4B"/>
        </w:rPr>
        <w:t>All other</w:t>
      </w:r>
      <w:r>
        <w:rPr>
          <w:color w:val="707070"/>
        </w:rPr>
        <w:t xml:space="preserve">" </w:t>
      </w:r>
      <w:r>
        <w:rPr>
          <w:color w:val="4B4B4B"/>
        </w:rPr>
        <w:t xml:space="preserve">classes </w:t>
      </w:r>
      <w:r>
        <w:rPr>
          <w:color w:val="5B5B5B"/>
        </w:rPr>
        <w:t xml:space="preserve">will </w:t>
      </w:r>
      <w:r>
        <w:rPr>
          <w:color w:val="4B4B4B"/>
        </w:rPr>
        <w:t xml:space="preserve">remain at 72% of the primary </w:t>
      </w:r>
      <w:proofErr w:type="gramStart"/>
      <w:r>
        <w:rPr>
          <w:color w:val="4B4B4B"/>
        </w:rPr>
        <w:t xml:space="preserve">premium </w:t>
      </w:r>
      <w:r>
        <w:rPr>
          <w:color w:val="707070"/>
        </w:rPr>
        <w:t>.</w:t>
      </w:r>
      <w:proofErr w:type="gramEnd"/>
      <w:r>
        <w:rPr>
          <w:color w:val="5B5B5B"/>
        </w:rPr>
        <w:t xml:space="preserve"> The </w:t>
      </w:r>
      <w:r>
        <w:rPr>
          <w:color w:val="4B4B4B"/>
        </w:rPr>
        <w:t xml:space="preserve">minimum rate is </w:t>
      </w:r>
      <w:r>
        <w:rPr>
          <w:color w:val="5B5B5B"/>
        </w:rPr>
        <w:t xml:space="preserve">still </w:t>
      </w:r>
      <w:r>
        <w:rPr>
          <w:color w:val="4B4B4B"/>
        </w:rPr>
        <w:t>$250</w:t>
      </w:r>
      <w:r>
        <w:rPr>
          <w:color w:val="707070"/>
        </w:rPr>
        <w:t>.</w:t>
      </w:r>
    </w:p>
    <w:p w14:paraId="630F382E" w14:textId="0DF61B54" w:rsidR="00755034" w:rsidRDefault="00755034">
      <w:pPr>
        <w:spacing w:before="197" w:line="177" w:lineRule="exact"/>
        <w:ind w:left="2893" w:right="3258"/>
        <w:jc w:val="center"/>
        <w:rPr>
          <w:b/>
          <w:sz w:val="16"/>
        </w:rPr>
      </w:pPr>
      <w:hyperlink r:id="rId5">
        <w:r>
          <w:rPr>
            <w:b/>
            <w:color w:val="5B5B5B"/>
            <w:w w:val="105"/>
            <w:sz w:val="16"/>
          </w:rPr>
          <w:t>www.doa.la.gov/P</w:t>
        </w:r>
      </w:hyperlink>
      <w:r>
        <w:rPr>
          <w:b/>
          <w:color w:val="5B5B5B"/>
          <w:w w:val="105"/>
          <w:sz w:val="16"/>
        </w:rPr>
        <w:t>ages/p</w:t>
      </w:r>
      <w:r w:rsidR="00B26FFF">
        <w:rPr>
          <w:b/>
          <w:color w:val="5B5B5B"/>
          <w:w w:val="105"/>
          <w:sz w:val="16"/>
        </w:rPr>
        <w:t>cf</w:t>
      </w:r>
      <w:r>
        <w:rPr>
          <w:b/>
          <w:color w:val="5B5B5B"/>
          <w:w w:val="105"/>
          <w:sz w:val="16"/>
        </w:rPr>
        <w:t>/lndex</w:t>
      </w:r>
      <w:r w:rsidRPr="0095282B">
        <w:rPr>
          <w:b/>
          <w:w w:val="105"/>
          <w:sz w:val="16"/>
        </w:rPr>
        <w:t>.</w:t>
      </w:r>
      <w:r>
        <w:rPr>
          <w:b/>
          <w:color w:val="5B5B5B"/>
          <w:w w:val="105"/>
          <w:sz w:val="16"/>
        </w:rPr>
        <w:t>aspx</w:t>
      </w:r>
    </w:p>
    <w:p w14:paraId="59EB1713" w14:textId="77777777" w:rsidR="00755034" w:rsidRDefault="00000000">
      <w:pPr>
        <w:spacing w:line="211" w:lineRule="exact"/>
        <w:ind w:left="2887" w:right="3258"/>
        <w:jc w:val="center"/>
        <w:rPr>
          <w:b/>
          <w:sz w:val="18"/>
        </w:rPr>
      </w:pPr>
      <w:r>
        <w:rPr>
          <w:b/>
          <w:color w:val="5B5B5B"/>
          <w:w w:val="105"/>
          <w:sz w:val="19"/>
        </w:rPr>
        <w:t xml:space="preserve">An </w:t>
      </w:r>
      <w:r>
        <w:rPr>
          <w:b/>
          <w:color w:val="5B5B5B"/>
          <w:w w:val="105"/>
          <w:sz w:val="18"/>
        </w:rPr>
        <w:t>Equal Opportunity</w:t>
      </w:r>
      <w:r>
        <w:rPr>
          <w:b/>
          <w:color w:val="5B5B5B"/>
          <w:spacing w:val="-24"/>
          <w:w w:val="105"/>
          <w:sz w:val="18"/>
        </w:rPr>
        <w:t xml:space="preserve"> </w:t>
      </w:r>
      <w:r>
        <w:rPr>
          <w:b/>
          <w:color w:val="5B5B5B"/>
          <w:w w:val="105"/>
          <w:sz w:val="18"/>
        </w:rPr>
        <w:t>Employer</w:t>
      </w:r>
    </w:p>
    <w:sectPr w:rsidR="00755034">
      <w:type w:val="continuous"/>
      <w:pgSz w:w="12240" w:h="15840"/>
      <w:pgMar w:top="20" w:right="6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Dczi9WAlKFzNRLcV4aAOnN38Hsy4Y6kTlFtNIGIuDedG2S41EsOrSzJG8OxdgXVubT5CvBJKVuuHN16u6ZESg==" w:salt="/FCN8wblSMWPh1kLwE+hn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34"/>
    <w:rsid w:val="00014DC1"/>
    <w:rsid w:val="000669B5"/>
    <w:rsid w:val="000D0518"/>
    <w:rsid w:val="0027030A"/>
    <w:rsid w:val="00363248"/>
    <w:rsid w:val="003A12F3"/>
    <w:rsid w:val="005B1001"/>
    <w:rsid w:val="00664FB3"/>
    <w:rsid w:val="006D0E7B"/>
    <w:rsid w:val="00755034"/>
    <w:rsid w:val="0095282B"/>
    <w:rsid w:val="009A2684"/>
    <w:rsid w:val="00A0539A"/>
    <w:rsid w:val="00B26FFF"/>
    <w:rsid w:val="00C7773E"/>
    <w:rsid w:val="00F3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C446F"/>
  <w15:docId w15:val="{91AE11AF-556C-4F21-AC49-328AA703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a.la.gov/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851</Characters>
  <Application>Microsoft Office Word</Application>
  <DocSecurity>8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LAPCF Rates Effective September 2 2026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LAPCF Rates Effective September 2 2026</dc:title>
  <dc:creator>Louisiana Patient's Compensation Fund</dc:creator>
  <cp:keywords>Memo LAPCF Rates Effective September 2 2026</cp:keywords>
  <dc:description>Memo LAPCF Rates Effective September 2 2026</dc:description>
  <cp:lastModifiedBy>Beth Brallier</cp:lastModifiedBy>
  <cp:revision>6</cp:revision>
  <dcterms:created xsi:type="dcterms:W3CDTF">2026-07-23T14:22:00Z</dcterms:created>
  <dcterms:modified xsi:type="dcterms:W3CDTF">2026-07-23T14:23:00Z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2026-07-21T00:00:00Z</vt:filetime>
  </property>
  <property fmtid="{D5CDD505-2E9C-101B-9397-08002B2CF9AE}" pid="3" name="LastSaved">
    <vt:filetime>2026-07-23T00:00:00Z</vt:filetime>
  </property>
</Properties>
</file>